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E5BE8" w14:textId="77777777" w:rsidR="009E6DAC" w:rsidRDefault="009E6DAC">
      <w:pPr>
        <w:pStyle w:val="Normale1"/>
        <w:jc w:val="left"/>
        <w:rPr>
          <w:rFonts w:ascii="Calibri" w:hAnsi="Calibri"/>
          <w:b/>
        </w:rPr>
      </w:pPr>
    </w:p>
    <w:p w14:paraId="0FC8C699" w14:textId="77777777" w:rsidR="009E6DAC" w:rsidRDefault="009E6DAC">
      <w:pPr>
        <w:pStyle w:val="Normale1"/>
        <w:jc w:val="left"/>
        <w:rPr>
          <w:rFonts w:ascii="Calibri" w:hAnsi="Calibri"/>
          <w:b/>
        </w:rPr>
      </w:pPr>
    </w:p>
    <w:p w14:paraId="2477A3F7" w14:textId="77777777" w:rsidR="009E6DAC" w:rsidRDefault="009E6DAC">
      <w:pPr>
        <w:pStyle w:val="Normale1"/>
        <w:jc w:val="left"/>
        <w:rPr>
          <w:rFonts w:ascii="Fedra Sans Std Demi" w:hAnsi="Fedra Sans Std Demi"/>
          <w:color w:val="071D49"/>
        </w:rPr>
      </w:pPr>
    </w:p>
    <w:p w14:paraId="1CDA000B" w14:textId="77777777" w:rsidR="009E6DAC" w:rsidRDefault="006C05FB">
      <w:pPr>
        <w:pStyle w:val="Normale1"/>
        <w:jc w:val="left"/>
        <w:rPr>
          <w:rFonts w:ascii="Fedra Sans Std Demi" w:hAnsi="Fedra Sans Std Demi"/>
          <w:color w:val="071D49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4AA4AD7B" wp14:editId="2AA02A4A">
            <wp:simplePos x="0" y="0"/>
            <wp:positionH relativeFrom="column">
              <wp:posOffset>-982345</wp:posOffset>
            </wp:positionH>
            <wp:positionV relativeFrom="paragraph">
              <wp:posOffset>-1395095</wp:posOffset>
            </wp:positionV>
            <wp:extent cx="7578090" cy="1554480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09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405A25" w14:textId="77777777" w:rsidR="009E6DAC" w:rsidRDefault="006C05FB">
      <w:pPr>
        <w:pStyle w:val="Normale1"/>
        <w:jc w:val="left"/>
        <w:rPr>
          <w:rFonts w:ascii="Calibri" w:hAnsi="Calibri"/>
          <w:b/>
        </w:rPr>
      </w:pPr>
      <w:r>
        <w:rPr>
          <w:rFonts w:ascii="Fedra Sans Std Demi" w:hAnsi="Fedra Sans Std Demi"/>
          <w:color w:val="071D49"/>
        </w:rPr>
        <w:t>Comunicato stampa</w:t>
      </w:r>
    </w:p>
    <w:p w14:paraId="29CF2777" w14:textId="77777777" w:rsidR="009E6DAC" w:rsidRDefault="009E6DAC">
      <w:pPr>
        <w:pStyle w:val="Normale1"/>
        <w:jc w:val="center"/>
        <w:rPr>
          <w:rFonts w:ascii="Calibri" w:hAnsi="Calibri"/>
          <w:b/>
          <w:sz w:val="32"/>
        </w:rPr>
      </w:pPr>
    </w:p>
    <w:p w14:paraId="5FC234A8" w14:textId="77777777" w:rsidR="009E6DAC" w:rsidRDefault="006C05FB">
      <w:pPr>
        <w:pStyle w:val="Normale1"/>
        <w:jc w:val="center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color w:val="000000"/>
          <w:sz w:val="36"/>
          <w:szCs w:val="36"/>
        </w:rPr>
        <w:t xml:space="preserve">Più produttive, innovative e qualificate: </w:t>
      </w:r>
    </w:p>
    <w:p w14:paraId="386B05B2" w14:textId="77777777" w:rsidR="009E6DAC" w:rsidRDefault="006C05FB">
      <w:pPr>
        <w:pStyle w:val="Normale1"/>
        <w:jc w:val="center"/>
        <w:rPr>
          <w:rFonts w:ascii="Calibri" w:hAnsi="Calibri" w:cs="Calibri"/>
          <w:b/>
          <w:bCs/>
          <w:color w:val="000000"/>
          <w:sz w:val="36"/>
          <w:szCs w:val="36"/>
        </w:rPr>
      </w:pPr>
      <w:r>
        <w:rPr>
          <w:rFonts w:ascii="Calibri" w:hAnsi="Calibri" w:cs="Calibri"/>
          <w:b/>
          <w:bCs/>
          <w:color w:val="000000"/>
          <w:sz w:val="36"/>
          <w:szCs w:val="36"/>
        </w:rPr>
        <w:t>ecco l’identikit delle imprese esportatrici italiane</w:t>
      </w:r>
    </w:p>
    <w:p w14:paraId="5F06ADD2" w14:textId="3AD8FA1D" w:rsidR="009E6DAC" w:rsidRDefault="003A49AE">
      <w:pPr>
        <w:jc w:val="center"/>
        <w:rPr>
          <w:rFonts w:ascii="Calibri" w:hAnsi="Calibri" w:cs="Calibri"/>
          <w:i/>
          <w:iCs/>
          <w:color w:val="000000"/>
          <w:sz w:val="28"/>
          <w:szCs w:val="28"/>
        </w:rPr>
      </w:pPr>
      <w:r>
        <w:rPr>
          <w:rFonts w:ascii="Calibri" w:hAnsi="Calibri" w:cs="Calibri"/>
          <w:i/>
          <w:iCs/>
          <w:color w:val="000000"/>
          <w:sz w:val="28"/>
          <w:szCs w:val="28"/>
        </w:rPr>
        <w:t>Circa 20mila le aziende italiane con le carte in regola per andare all’estero</w:t>
      </w:r>
    </w:p>
    <w:p w14:paraId="2C6DD5BB" w14:textId="77777777" w:rsidR="009E6DAC" w:rsidRDefault="009E6DAC" w:rsidP="003A49AE">
      <w:pPr>
        <w:pStyle w:val="Normale1"/>
        <w:rPr>
          <w:rFonts w:ascii="Calibri" w:hAnsi="Calibri"/>
          <w:b/>
          <w:sz w:val="32"/>
        </w:rPr>
      </w:pPr>
    </w:p>
    <w:p w14:paraId="056933EF" w14:textId="77777777" w:rsidR="006E7042" w:rsidRDefault="006E7042" w:rsidP="003A49AE">
      <w:pPr>
        <w:pStyle w:val="Normale1"/>
        <w:rPr>
          <w:rFonts w:ascii="Calibri" w:hAnsi="Calibri"/>
          <w:b/>
          <w:sz w:val="32"/>
        </w:rPr>
      </w:pPr>
    </w:p>
    <w:p w14:paraId="0CAD23DB" w14:textId="77777777" w:rsidR="009E6DAC" w:rsidRDefault="006C05FB">
      <w:pPr>
        <w:pStyle w:val="Normale1"/>
        <w:rPr>
          <w:rFonts w:ascii="Calibri" w:hAnsi="Calibri"/>
        </w:rPr>
      </w:pPr>
      <w:r>
        <w:rPr>
          <w:rFonts w:ascii="Calibri" w:hAnsi="Calibri"/>
        </w:rPr>
        <w:t>R</w:t>
      </w:r>
      <w:r>
        <w:rPr>
          <w:rFonts w:ascii="Calibri" w:hAnsi="Calibri" w:cs="Calibri"/>
        </w:rPr>
        <w:t xml:space="preserve">oma, 28 ottobre 2026 – </w:t>
      </w:r>
      <w:r>
        <w:rPr>
          <w:rFonts w:ascii="Calibri" w:hAnsi="Calibri" w:cs="Calibri"/>
          <w:color w:val="000000"/>
        </w:rPr>
        <w:t xml:space="preserve">Le imprese italiane che esportano sono più produttive, investono maggiormente nell’innovazione e puntano di più sulla qualificazione del capitale umano. È il quadro che emerge dall’indagine condotta nel 2026 da </w:t>
      </w:r>
      <w:r>
        <w:rPr>
          <w:rFonts w:ascii="Calibri" w:hAnsi="Calibri" w:cs="Calibri"/>
          <w:b/>
          <w:bCs/>
          <w:color w:val="000000"/>
        </w:rPr>
        <w:t xml:space="preserve">Unioncamere </w:t>
      </w:r>
      <w:r>
        <w:rPr>
          <w:rFonts w:ascii="Calibri" w:hAnsi="Calibri" w:cs="Calibri"/>
          <w:color w:val="000000"/>
        </w:rPr>
        <w:t xml:space="preserve">e dal suo Centro studi Tagliacarne su 4.500 imprese. L’analisi è stata diffusa in occasione dell’Assemblea dei presidenti delle Camere di commercio in corso a Roma, alla presenza del Vice premier e Ministro degli Affari esteri e della Cooperazione internazionale, </w:t>
      </w:r>
      <w:r>
        <w:rPr>
          <w:rFonts w:ascii="Calibri" w:hAnsi="Calibri" w:cs="Calibri"/>
          <w:b/>
          <w:bCs/>
          <w:color w:val="000000"/>
        </w:rPr>
        <w:t>Antonio Tajani</w:t>
      </w:r>
      <w:r>
        <w:rPr>
          <w:rFonts w:ascii="Calibri" w:hAnsi="Calibri" w:cs="Calibri"/>
          <w:color w:val="000000"/>
        </w:rPr>
        <w:t>.</w:t>
      </w:r>
    </w:p>
    <w:p w14:paraId="69452F85" w14:textId="77777777" w:rsidR="009E6DAC" w:rsidRDefault="009E6DAC">
      <w:pPr>
        <w:pStyle w:val="Normale1"/>
        <w:rPr>
          <w:rFonts w:ascii="Calibri" w:hAnsi="Calibri" w:cs="Calibri"/>
          <w:color w:val="000000"/>
        </w:rPr>
      </w:pPr>
    </w:p>
    <w:p w14:paraId="6261A961" w14:textId="4E8D1712" w:rsidR="003A49AE" w:rsidRPr="003A49AE" w:rsidRDefault="003A49AE" w:rsidP="003A49AE">
      <w:pPr>
        <w:jc w:val="both"/>
        <w:rPr>
          <w:rFonts w:ascii="Calibri" w:hAnsi="Calibri" w:cs="Calibri"/>
          <w:i/>
          <w:iCs/>
          <w:color w:val="000000"/>
          <w:sz w:val="24"/>
          <w:szCs w:val="24"/>
        </w:rPr>
      </w:pPr>
      <w:r w:rsidRPr="003A49AE">
        <w:rPr>
          <w:rFonts w:ascii="Calibri" w:hAnsi="Calibri" w:cs="Calibri"/>
          <w:i/>
          <w:iCs/>
          <w:color w:val="000000"/>
          <w:sz w:val="24"/>
          <w:szCs w:val="24"/>
        </w:rPr>
        <w:t>“L’obiettivo dell’accordo tra Unioncamere e Maeci è ampliare la platea delle imprese italiane che esportano e rafforzare la loro presenza sui mercati internazionali</w:t>
      </w:r>
      <w:r w:rsidR="00B704B4">
        <w:rPr>
          <w:rFonts w:ascii="Calibri" w:hAnsi="Calibri" w:cs="Calibri"/>
          <w:i/>
          <w:iCs/>
          <w:color w:val="000000"/>
          <w:sz w:val="24"/>
          <w:szCs w:val="24"/>
        </w:rPr>
        <w:t>”</w:t>
      </w:r>
      <w:r w:rsidRPr="003A49AE">
        <w:rPr>
          <w:rFonts w:ascii="Calibri" w:hAnsi="Calibri" w:cs="Calibri"/>
          <w:i/>
          <w:iCs/>
          <w:color w:val="000000"/>
          <w:sz w:val="24"/>
          <w:szCs w:val="24"/>
        </w:rPr>
        <w:t xml:space="preserve">, </w:t>
      </w:r>
      <w:r w:rsidRPr="003A49AE">
        <w:rPr>
          <w:rFonts w:ascii="Calibri" w:hAnsi="Calibri" w:cs="Calibri"/>
          <w:color w:val="000000"/>
          <w:sz w:val="24"/>
          <w:szCs w:val="24"/>
        </w:rPr>
        <w:t xml:space="preserve">ha sottolineato il presidente di </w:t>
      </w:r>
      <w:r w:rsidRPr="003A49AE">
        <w:rPr>
          <w:rFonts w:ascii="Calibri" w:hAnsi="Calibri" w:cs="Calibri"/>
          <w:b/>
          <w:bCs/>
          <w:color w:val="000000"/>
          <w:sz w:val="24"/>
          <w:szCs w:val="24"/>
        </w:rPr>
        <w:t>Unioncamere</w:t>
      </w:r>
      <w:r w:rsidRPr="003A49AE">
        <w:rPr>
          <w:rFonts w:ascii="Calibri" w:hAnsi="Calibri" w:cs="Calibri"/>
          <w:color w:val="000000"/>
          <w:sz w:val="24"/>
          <w:szCs w:val="24"/>
        </w:rPr>
        <w:t xml:space="preserve">, </w:t>
      </w:r>
      <w:r w:rsidRPr="003A49AE">
        <w:rPr>
          <w:rFonts w:ascii="Calibri" w:hAnsi="Calibri" w:cs="Calibri"/>
          <w:b/>
          <w:bCs/>
          <w:color w:val="000000"/>
          <w:sz w:val="24"/>
          <w:szCs w:val="24"/>
        </w:rPr>
        <w:t>Andrea Prete</w:t>
      </w:r>
      <w:r w:rsidRPr="003A49AE">
        <w:rPr>
          <w:rFonts w:ascii="Calibri" w:hAnsi="Calibri" w:cs="Calibri"/>
          <w:i/>
          <w:iCs/>
          <w:color w:val="000000"/>
          <w:sz w:val="24"/>
          <w:szCs w:val="24"/>
        </w:rPr>
        <w:t xml:space="preserve">. “Esiste un potenziale di circa 20mila imprese che potrebbero avviare o sviluppare la propria attività sui mercati esteri. Su queste concentreremo la nostra azione, per accompagnarle nel percorso di crescita internazionale e favorirne l’accesso a nuovi mercati”. </w:t>
      </w:r>
    </w:p>
    <w:p w14:paraId="224B4134" w14:textId="57ABD1F7" w:rsidR="009E6DAC" w:rsidRDefault="009E6DAC">
      <w:pPr>
        <w:jc w:val="both"/>
        <w:rPr>
          <w:rFonts w:ascii="Calibri" w:hAnsi="Calibri" w:cs="Calibri"/>
          <w:color w:val="000000"/>
          <w:sz w:val="24"/>
        </w:rPr>
      </w:pPr>
    </w:p>
    <w:p w14:paraId="3C111DEA" w14:textId="37D8CEF9" w:rsidR="009E6DAC" w:rsidRDefault="006C05FB">
      <w:pPr>
        <w:jc w:val="both"/>
        <w:rPr>
          <w:rFonts w:ascii="Calibri" w:hAnsi="Calibri" w:cs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 xml:space="preserve">A parità di dimensione, settore e localizzazione geografica, le imprese esportatrici registrano una produttività del lavoro superiore di circa il 20% rispetto a quelle che non esportano. </w:t>
      </w:r>
      <w:r w:rsidR="00B3334A">
        <w:rPr>
          <w:rFonts w:ascii="Calibri" w:hAnsi="Calibri" w:cs="Calibri"/>
          <w:color w:val="000000"/>
          <w:sz w:val="24"/>
        </w:rPr>
        <w:t>Già all’inizio dell’attività</w:t>
      </w:r>
      <w:r>
        <w:rPr>
          <w:rFonts w:ascii="Calibri" w:hAnsi="Calibri" w:cs="Calibri"/>
          <w:color w:val="000000"/>
          <w:sz w:val="24"/>
        </w:rPr>
        <w:t xml:space="preserve"> sui mercati esteri, la produttività aumenta di circa il 6% rispetto a quando </w:t>
      </w:r>
      <w:r w:rsidR="00B3334A">
        <w:rPr>
          <w:rFonts w:ascii="Calibri" w:hAnsi="Calibri" w:cs="Calibri"/>
          <w:color w:val="000000"/>
          <w:sz w:val="24"/>
        </w:rPr>
        <w:t xml:space="preserve">l’impresa </w:t>
      </w:r>
      <w:r>
        <w:rPr>
          <w:rFonts w:ascii="Calibri" w:hAnsi="Calibri" w:cs="Calibri"/>
          <w:color w:val="000000"/>
          <w:sz w:val="24"/>
        </w:rPr>
        <w:t>operava solo sul mercato domestico.</w:t>
      </w:r>
    </w:p>
    <w:p w14:paraId="7FF7ED94" w14:textId="77777777" w:rsidR="006E7042" w:rsidRDefault="006E7042">
      <w:pPr>
        <w:jc w:val="both"/>
        <w:rPr>
          <w:rFonts w:ascii="Calibri" w:hAnsi="Calibri" w:cs="Calibri"/>
        </w:rPr>
      </w:pPr>
    </w:p>
    <w:p w14:paraId="77B5726C" w14:textId="63E65D13" w:rsidR="009E6DAC" w:rsidRPr="006E7042" w:rsidRDefault="006C05FB" w:rsidP="006E7042">
      <w:pPr>
        <w:spacing w:after="120"/>
        <w:jc w:val="both"/>
        <w:rPr>
          <w:rFonts w:ascii="Calibri" w:hAnsi="Calibri" w:cs="Calibri"/>
          <w:sz w:val="24"/>
          <w:szCs w:val="24"/>
        </w:rPr>
      </w:pPr>
      <w:r w:rsidRPr="006E7042">
        <w:rPr>
          <w:rFonts w:ascii="Calibri" w:hAnsi="Calibri" w:cs="Calibri"/>
          <w:color w:val="000000"/>
          <w:sz w:val="24"/>
          <w:szCs w:val="24"/>
        </w:rPr>
        <w:t>Il vantaggio competitivo</w:t>
      </w:r>
      <w:r w:rsidR="006E7042" w:rsidRPr="006E7042">
        <w:rPr>
          <w:rFonts w:ascii="Calibri" w:hAnsi="Calibri" w:cs="Calibri"/>
          <w:color w:val="000000"/>
          <w:sz w:val="24"/>
          <w:szCs w:val="24"/>
        </w:rPr>
        <w:t xml:space="preserve">, che porta queste imprese ad avere migliori </w:t>
      </w:r>
      <w:r w:rsidR="006E7042">
        <w:rPr>
          <w:rFonts w:ascii="Calibri" w:hAnsi="Calibri" w:cs="Calibri"/>
          <w:color w:val="000000"/>
          <w:sz w:val="24"/>
          <w:szCs w:val="24"/>
        </w:rPr>
        <w:t>aspettative</w:t>
      </w:r>
      <w:r w:rsidR="006E7042" w:rsidRPr="006E7042">
        <w:rPr>
          <w:rFonts w:ascii="Calibri" w:hAnsi="Calibri" w:cs="Calibri"/>
          <w:color w:val="000000"/>
          <w:sz w:val="24"/>
          <w:szCs w:val="24"/>
        </w:rPr>
        <w:t xml:space="preserve"> di crescita (u</w:t>
      </w:r>
      <w:r w:rsidR="006E7042" w:rsidRPr="006E7042">
        <w:rPr>
          <w:rFonts w:ascii="Calibri" w:hAnsi="Calibri" w:cs="Calibri"/>
          <w:sz w:val="24"/>
          <w:szCs w:val="24"/>
        </w:rPr>
        <w:t xml:space="preserve">n'esportatrice su tre si attende un aumento del fatturato nel 2027, contro </w:t>
      </w:r>
      <w:r w:rsidR="006E7042" w:rsidRPr="006E7042">
        <w:rPr>
          <w:rFonts w:ascii="Calibri" w:hAnsi="Calibri" w:cs="Calibri"/>
          <w:sz w:val="24"/>
          <w:szCs w:val="24"/>
        </w:rPr>
        <w:t>il</w:t>
      </w:r>
      <w:r w:rsidR="006E7042" w:rsidRPr="006E7042">
        <w:rPr>
          <w:rFonts w:ascii="Calibri" w:hAnsi="Calibri" w:cs="Calibri"/>
          <w:sz w:val="24"/>
          <w:szCs w:val="24"/>
        </w:rPr>
        <w:t xml:space="preserve"> 22%</w:t>
      </w:r>
      <w:r w:rsidR="006E7042" w:rsidRPr="006E7042">
        <w:rPr>
          <w:rFonts w:ascii="Calibri" w:hAnsi="Calibri" w:cs="Calibri"/>
          <w:sz w:val="24"/>
          <w:szCs w:val="24"/>
        </w:rPr>
        <w:t xml:space="preserve"> delle non esportatrici</w:t>
      </w:r>
      <w:r w:rsidR="006E7042" w:rsidRPr="006E7042">
        <w:rPr>
          <w:rFonts w:ascii="Calibri" w:hAnsi="Calibri" w:cs="Calibri"/>
          <w:sz w:val="24"/>
          <w:szCs w:val="24"/>
        </w:rPr>
        <w:t>)</w:t>
      </w:r>
      <w:r w:rsidR="006E7042" w:rsidRPr="006E7042">
        <w:rPr>
          <w:rFonts w:ascii="Calibri" w:hAnsi="Calibri" w:cs="Calibri"/>
          <w:sz w:val="24"/>
          <w:szCs w:val="24"/>
        </w:rPr>
        <w:t xml:space="preserve">, </w:t>
      </w:r>
      <w:r w:rsidRPr="006E7042">
        <w:rPr>
          <w:rFonts w:ascii="Calibri" w:hAnsi="Calibri" w:cs="Calibri"/>
          <w:color w:val="000000"/>
          <w:sz w:val="24"/>
          <w:szCs w:val="24"/>
        </w:rPr>
        <w:t>si riflette anche nelle scelte di investimento. Nel triennio 2026-2028</w:t>
      </w:r>
      <w:r w:rsidR="00B3334A">
        <w:rPr>
          <w:rFonts w:ascii="Calibri" w:hAnsi="Calibri" w:cs="Calibri"/>
          <w:color w:val="000000"/>
          <w:sz w:val="24"/>
          <w:szCs w:val="24"/>
        </w:rPr>
        <w:t>,</w:t>
      </w:r>
      <w:r w:rsidRPr="006E7042">
        <w:rPr>
          <w:rFonts w:ascii="Calibri" w:hAnsi="Calibri" w:cs="Calibri"/>
          <w:color w:val="000000"/>
          <w:sz w:val="24"/>
          <w:szCs w:val="24"/>
        </w:rPr>
        <w:t xml:space="preserve"> il 43% delle imprese esportatrici</w:t>
      </w:r>
      <w:r w:rsidR="00B3334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3334A" w:rsidRPr="006E7042">
        <w:rPr>
          <w:rFonts w:ascii="Calibri" w:hAnsi="Calibri" w:cs="Calibri"/>
          <w:color w:val="000000"/>
          <w:sz w:val="24"/>
          <w:szCs w:val="24"/>
        </w:rPr>
        <w:t>prevede investimenti in ricerca e sviluppo</w:t>
      </w:r>
      <w:r w:rsidRPr="006E7042">
        <w:rPr>
          <w:rFonts w:ascii="Calibri" w:hAnsi="Calibri" w:cs="Calibri"/>
          <w:color w:val="000000"/>
          <w:sz w:val="24"/>
          <w:szCs w:val="24"/>
        </w:rPr>
        <w:t>, contro il 16% delle non esportatrici. Per le tecnologie 4.0 le quote sono rispettivamente del 51% e del 28%, mentre per gli investimenti nella transizione verde si attestano al 47% e al 28%.</w:t>
      </w:r>
    </w:p>
    <w:p w14:paraId="06F37FF7" w14:textId="77777777" w:rsidR="009E6DAC" w:rsidRDefault="006C05FB">
      <w:pPr>
        <w:jc w:val="both"/>
        <w:rPr>
          <w:rFonts w:ascii="Calibri" w:hAnsi="Calibri" w:cs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Le imprese esportatrici mostrano inoltre una maggiore attenzione alle competenze: il 61% prevede di investire nell’aggiornamento professionale dei dipendenti, contro il 48% delle altre imprese. Una su cinque programma l’ingresso di lavoratori altamente specializzati, più del doppio rispetto alle non esportatrici (20% contro 9%). Anche nell’intelligenza artificiale il divario è evidente: la utilizza già il 26% delle esportatrici, contro il 19% delle non esportatrici.</w:t>
      </w:r>
    </w:p>
    <w:p w14:paraId="7A6D1234" w14:textId="77777777" w:rsidR="003A49AE" w:rsidRDefault="003A49AE">
      <w:pPr>
        <w:jc w:val="both"/>
        <w:rPr>
          <w:rFonts w:ascii="Calibri" w:hAnsi="Calibri" w:cs="Calibri"/>
          <w:color w:val="000000"/>
          <w:sz w:val="24"/>
        </w:rPr>
      </w:pPr>
    </w:p>
    <w:p w14:paraId="1AF553BF" w14:textId="1C111423" w:rsidR="003A49AE" w:rsidRPr="003A49AE" w:rsidRDefault="003A49AE">
      <w:pPr>
        <w:jc w:val="both"/>
        <w:rPr>
          <w:rFonts w:ascii="Calibri" w:hAnsi="Calibri" w:cs="Calibri"/>
          <w:b/>
          <w:bCs/>
          <w:color w:val="000000"/>
          <w:sz w:val="24"/>
        </w:rPr>
      </w:pPr>
      <w:r w:rsidRPr="003A49AE">
        <w:rPr>
          <w:rFonts w:ascii="Calibri" w:hAnsi="Calibri" w:cs="Calibri"/>
          <w:b/>
          <w:bCs/>
          <w:color w:val="000000"/>
          <w:sz w:val="24"/>
        </w:rPr>
        <w:lastRenderedPageBreak/>
        <w:t>Le imprese potenziali esportatrici</w:t>
      </w:r>
    </w:p>
    <w:p w14:paraId="3006AA35" w14:textId="1B1027F7" w:rsidR="003A49AE" w:rsidRDefault="003A49AE" w:rsidP="003A49AE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Il bacino individuato da Unioncamere conta circa 20mila imprese che avrebbero già tutte le carte in regola per esportare ma ancora non hanno avuto l’opportunità di oltrepassare i confini nazionali. In rapporto alle aziende che già esportano nelle rispettive aree, il potenziale relativo è più ampio al Sud: 21 imprese potenzialmente esportatrici ogni 100 già esportatrici, contro 13 nel Centro-Nord.</w:t>
      </w:r>
    </w:p>
    <w:p w14:paraId="4680DB68" w14:textId="77777777" w:rsidR="009E6DAC" w:rsidRDefault="009E6DAC">
      <w:pPr>
        <w:jc w:val="both"/>
        <w:rPr>
          <w:rFonts w:ascii="Calibri" w:hAnsi="Calibri" w:cs="Calibri"/>
          <w:b/>
          <w:color w:val="000000"/>
          <w:sz w:val="24"/>
        </w:rPr>
      </w:pPr>
    </w:p>
    <w:p w14:paraId="586DF2DB" w14:textId="77777777" w:rsidR="009E6DAC" w:rsidRDefault="006C05FB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color w:val="000000"/>
          <w:sz w:val="24"/>
        </w:rPr>
        <w:t>Il ruolo dei servizi camerali</w:t>
      </w:r>
    </w:p>
    <w:p w14:paraId="0BBA6AE8" w14:textId="77777777" w:rsidR="006B3922" w:rsidRDefault="006C05FB">
      <w:pPr>
        <w:jc w:val="both"/>
        <w:rPr>
          <w:rFonts w:ascii="Calibri" w:hAnsi="Calibri" w:cs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 xml:space="preserve">L’analisi delle imprese che hanno utilizzato i servizi delle Camere di commercio per l’internazionalizzazione mostra risultati significativi. </w:t>
      </w:r>
    </w:p>
    <w:p w14:paraId="72863B16" w14:textId="77777777" w:rsidR="006B3922" w:rsidRDefault="006C05FB">
      <w:pPr>
        <w:jc w:val="both"/>
        <w:rPr>
          <w:rFonts w:ascii="Calibri" w:hAnsi="Calibri" w:cs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 xml:space="preserve">Nel periodo 2020-2024, le aziende beneficiarie hanno registrato una probabilità di iniziare a esportare superiore del 41,4% rispetto alle imprese non servite. </w:t>
      </w:r>
    </w:p>
    <w:p w14:paraId="6B9EE9E1" w14:textId="62EDF97F" w:rsidR="009E6DAC" w:rsidRDefault="006C05FB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4"/>
        </w:rPr>
        <w:t>Il valore delle esportazioni</w:t>
      </w:r>
      <w:r w:rsidR="006B3922">
        <w:rPr>
          <w:rFonts w:ascii="Calibri" w:hAnsi="Calibri" w:cs="Calibri"/>
          <w:color w:val="000000"/>
          <w:sz w:val="24"/>
        </w:rPr>
        <w:t xml:space="preserve"> delle imprese che hanno usufruito dei servizi camerali</w:t>
      </w:r>
      <w:r>
        <w:rPr>
          <w:rFonts w:ascii="Calibri" w:hAnsi="Calibri" w:cs="Calibri"/>
          <w:color w:val="000000"/>
          <w:sz w:val="24"/>
        </w:rPr>
        <w:t xml:space="preserve"> è risultato più elevato del 21,8%</w:t>
      </w:r>
      <w:r w:rsidR="006B3922">
        <w:rPr>
          <w:rFonts w:ascii="Calibri" w:hAnsi="Calibri" w:cs="Calibri"/>
          <w:color w:val="000000"/>
          <w:sz w:val="24"/>
        </w:rPr>
        <w:t xml:space="preserve"> rispetto alle imprese non servite</w:t>
      </w:r>
      <w:r>
        <w:rPr>
          <w:rFonts w:ascii="Calibri" w:hAnsi="Calibri" w:cs="Calibri"/>
          <w:color w:val="000000"/>
          <w:sz w:val="24"/>
        </w:rPr>
        <w:t>, con un impatto complessivo stimato tra 600 e 800 milioni di euro di export aggiuntivo.</w:t>
      </w:r>
      <w:r w:rsidR="006B3922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0000"/>
          <w:sz w:val="24"/>
        </w:rPr>
        <w:t>L’effetto è ancora più marcato per le imprese meridionali: per quelle che hanno usufruito dei servizi camerali, l’impatto stimato sul valore delle esportazioni raggiunge il 65,3%, circa tre volte la media nazionale.</w:t>
      </w:r>
    </w:p>
    <w:p w14:paraId="0E4F12A7" w14:textId="77777777" w:rsidR="009E6DAC" w:rsidRDefault="009E6DAC">
      <w:pPr>
        <w:rPr>
          <w:rFonts w:ascii="Calibri" w:hAnsi="Calibri" w:cs="Calibri"/>
          <w:color w:val="000000"/>
          <w:sz w:val="24"/>
        </w:rPr>
      </w:pPr>
    </w:p>
    <w:p w14:paraId="0A8B49C4" w14:textId="77777777" w:rsidR="009E6DAC" w:rsidRDefault="009E6DAC">
      <w:pPr>
        <w:rPr>
          <w:rFonts w:ascii="Calibri" w:hAnsi="Calibri" w:cs="Calibri"/>
          <w:b/>
          <w:color w:val="000000"/>
          <w:sz w:val="24"/>
        </w:rPr>
      </w:pPr>
    </w:p>
    <w:p w14:paraId="4D180B71" w14:textId="77777777" w:rsidR="009E6DAC" w:rsidRDefault="009E6DAC">
      <w:pPr>
        <w:rPr>
          <w:b/>
          <w:color w:val="000000"/>
          <w:sz w:val="24"/>
        </w:rPr>
      </w:pPr>
    </w:p>
    <w:p w14:paraId="2E7BD8AD" w14:textId="77777777" w:rsidR="009E6DAC" w:rsidRDefault="009E6DAC">
      <w:pPr>
        <w:jc w:val="both"/>
        <w:rPr>
          <w:rFonts w:ascii="Calibri" w:hAnsi="Calibri" w:cs="Calibri"/>
          <w:b/>
          <w:color w:val="000000"/>
          <w:sz w:val="24"/>
          <w:szCs w:val="24"/>
        </w:rPr>
      </w:pPr>
    </w:p>
    <w:p w14:paraId="476F7989" w14:textId="3D664D4B" w:rsidR="00635D8F" w:rsidRDefault="00635D8F">
      <w:pPr>
        <w:rPr>
          <w:rFonts w:ascii="Calibri" w:hAnsi="Calibri" w:cs="Calibri"/>
          <w:b/>
          <w:color w:val="C00000"/>
          <w:sz w:val="32"/>
          <w:szCs w:val="32"/>
        </w:rPr>
      </w:pPr>
      <w:r>
        <w:rPr>
          <w:rFonts w:ascii="Calibri" w:hAnsi="Calibri" w:cs="Calibri"/>
          <w:b/>
          <w:color w:val="C00000"/>
          <w:sz w:val="32"/>
          <w:szCs w:val="32"/>
        </w:rPr>
        <w:br w:type="page"/>
      </w:r>
    </w:p>
    <w:p w14:paraId="18B000A7" w14:textId="484B0BFB" w:rsidR="00F0081C" w:rsidRDefault="00110E67">
      <w:pPr>
        <w:rPr>
          <w:rFonts w:ascii="Calibri" w:hAnsi="Calibri" w:cs="Calibri"/>
          <w:b/>
          <w:color w:val="C00000"/>
          <w:sz w:val="32"/>
          <w:szCs w:val="32"/>
        </w:rPr>
      </w:pPr>
      <w:r>
        <w:rPr>
          <w:rFonts w:ascii="Calibri" w:hAnsi="Calibri" w:cs="Calibri"/>
          <w:b/>
          <w:noProof/>
          <w:color w:val="C00000"/>
          <w:sz w:val="32"/>
          <w:szCs w:val="32"/>
        </w:rPr>
        <w:lastRenderedPageBreak/>
        <w:drawing>
          <wp:inline distT="0" distB="0" distL="0" distR="0" wp14:anchorId="2992AF32" wp14:editId="24D55F1E">
            <wp:extent cx="6238697" cy="5705475"/>
            <wp:effectExtent l="0" t="0" r="0" b="0"/>
            <wp:docPr id="105997713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573" cy="570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08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559" w:bottom="1134" w:left="1559" w:header="720" w:footer="6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929C3" w14:textId="77777777" w:rsidR="00477D86" w:rsidRDefault="00477D86">
      <w:r>
        <w:separator/>
      </w:r>
    </w:p>
  </w:endnote>
  <w:endnote w:type="continuationSeparator" w:id="0">
    <w:p w14:paraId="497E28AD" w14:textId="77777777" w:rsidR="00477D86" w:rsidRDefault="00477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mbria"/>
    <w:panose1 w:val="00000000000000000000"/>
    <w:charset w:val="00"/>
    <w:family w:val="roman"/>
    <w:notTrueType/>
    <w:pitch w:val="default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Fedra Sans Std Demi">
    <w:altName w:val="Cambria"/>
    <w:panose1 w:val="00000000000000000000"/>
    <w:charset w:val="00"/>
    <w:family w:val="roman"/>
    <w:notTrueType/>
    <w:pitch w:val="default"/>
  </w:font>
  <w:font w:name="Fedra Sans Std Ligh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C252" w14:textId="77777777" w:rsidR="009E6DAC" w:rsidRDefault="009E6DAC">
    <w:pPr>
      <w:pStyle w:val="PiDiPagina"/>
    </w:pPr>
  </w:p>
  <w:p w14:paraId="7CDB7C0F" w14:textId="77777777" w:rsidR="009E6DAC" w:rsidRDefault="009E6DAC">
    <w:pPr>
      <w:pStyle w:val="Normale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2662"/>
      <w:gridCol w:w="222"/>
    </w:tblGrid>
    <w:tr w:rsidR="009E6DAC" w14:paraId="1480A961" w14:textId="77777777">
      <w:trPr>
        <w:trHeight w:val="464"/>
      </w:trPr>
      <w:tc>
        <w:tcPr>
          <w:tcW w:w="0" w:type="auto"/>
        </w:tcPr>
        <w:p w14:paraId="4688DE6B" w14:textId="77777777" w:rsidR="009E6DAC" w:rsidRDefault="006C05FB">
          <w:pPr>
            <w:pStyle w:val="PiDiPagina"/>
            <w:tabs>
              <w:tab w:val="clear" w:pos="9638"/>
            </w:tabs>
            <w:jc w:val="left"/>
            <w:rPr>
              <w:rFonts w:ascii="Fedra Sans Std Light" w:hAnsi="Fedra Sans Std Light"/>
              <w:b/>
              <w:color w:val="071D49"/>
              <w:sz w:val="20"/>
            </w:rPr>
          </w:pPr>
          <w:r>
            <w:rPr>
              <w:rFonts w:ascii="Fedra Sans Std Light" w:hAnsi="Fedra Sans Std Light"/>
              <w:b/>
              <w:color w:val="071D49"/>
              <w:sz w:val="20"/>
            </w:rPr>
            <w:t>Per ulteriori informazioni:</w:t>
          </w:r>
        </w:p>
        <w:p w14:paraId="0BC97CA6" w14:textId="77777777" w:rsidR="009E6DAC" w:rsidRDefault="006C05FB">
          <w:pPr>
            <w:pStyle w:val="PiDiPagina"/>
            <w:jc w:val="left"/>
            <w:rPr>
              <w:rFonts w:ascii="Calibri" w:hAnsi="Calibri"/>
            </w:rPr>
          </w:pPr>
          <w:r>
            <w:rPr>
              <w:rFonts w:ascii="Fedra Sans Std Light" w:hAnsi="Fedra Sans Std Light"/>
              <w:color w:val="071D49"/>
              <w:sz w:val="20"/>
            </w:rPr>
            <w:t>06.4704 264 / 348.9025607</w:t>
          </w:r>
        </w:p>
      </w:tc>
      <w:tc>
        <w:tcPr>
          <w:tcW w:w="0" w:type="auto"/>
        </w:tcPr>
        <w:p w14:paraId="4BBFB49C" w14:textId="77777777" w:rsidR="009E6DAC" w:rsidRDefault="006C05FB">
          <w:pPr>
            <w:pStyle w:val="Normale1"/>
            <w:jc w:val="center"/>
            <w:rPr>
              <w:rFonts w:ascii="Calibri" w:hAnsi="Calibri"/>
            </w:rPr>
          </w:pPr>
          <w:r>
            <w:rPr>
              <w:rFonts w:ascii="Calibri" w:hAnsi="Calibri"/>
              <w:b/>
            </w:rPr>
            <w:t xml:space="preserve"> </w:t>
          </w:r>
        </w:p>
      </w:tc>
    </w:tr>
  </w:tbl>
  <w:p w14:paraId="26EEA683" w14:textId="77777777" w:rsidR="009E6DAC" w:rsidRDefault="009E6DAC">
    <w:pPr>
      <w:pStyle w:val="PiDiPagina"/>
    </w:pPr>
  </w:p>
  <w:p w14:paraId="2C76B2E1" w14:textId="77777777" w:rsidR="009E6DAC" w:rsidRDefault="009E6DAC">
    <w:pPr>
      <w:pStyle w:val="PiDiPagina"/>
      <w:jc w:val="center"/>
      <w:rPr>
        <w:b/>
      </w:rPr>
    </w:pPr>
  </w:p>
  <w:p w14:paraId="60B9198F" w14:textId="77777777" w:rsidR="009E6DAC" w:rsidRDefault="009E6DAC">
    <w:pPr>
      <w:pStyle w:val="Normale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62580" w14:textId="77777777" w:rsidR="009E6DAC" w:rsidRDefault="009E6DAC">
    <w:pPr>
      <w:pStyle w:val="PiDiPagina"/>
    </w:pPr>
  </w:p>
  <w:p w14:paraId="3B695393" w14:textId="77777777" w:rsidR="009E6DAC" w:rsidRDefault="009E6DAC">
    <w:pPr>
      <w:pStyle w:val="Normale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9401D" w14:textId="77777777" w:rsidR="00477D86" w:rsidRDefault="00477D86">
      <w:r>
        <w:separator/>
      </w:r>
    </w:p>
  </w:footnote>
  <w:footnote w:type="continuationSeparator" w:id="0">
    <w:p w14:paraId="23127E7A" w14:textId="77777777" w:rsidR="00477D86" w:rsidRDefault="00477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EA83" w14:textId="77777777" w:rsidR="009E6DAC" w:rsidRDefault="009E6DAC">
    <w:pPr>
      <w:pStyle w:val="Intestazione1"/>
    </w:pPr>
  </w:p>
  <w:p w14:paraId="2D73A7D7" w14:textId="77777777" w:rsidR="009E6DAC" w:rsidRDefault="009E6DAC">
    <w:pPr>
      <w:pStyle w:val="Normal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F3C3A" w14:textId="77777777" w:rsidR="009E6DAC" w:rsidRDefault="009E6DAC">
    <w:pPr>
      <w:pStyle w:val="Intestazione1"/>
    </w:pPr>
  </w:p>
  <w:p w14:paraId="36165B68" w14:textId="77777777" w:rsidR="009E6DAC" w:rsidRDefault="009E6DAC">
    <w:pPr>
      <w:pStyle w:val="Intestazione1"/>
    </w:pPr>
  </w:p>
  <w:p w14:paraId="12BD728F" w14:textId="77777777" w:rsidR="009E6DAC" w:rsidRDefault="009E6DAC">
    <w:pPr>
      <w:pStyle w:val="Normale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DB7" w14:textId="77777777" w:rsidR="009E6DAC" w:rsidRDefault="009E6DAC">
    <w:pPr>
      <w:pStyle w:val="Intestazione1"/>
    </w:pPr>
  </w:p>
  <w:p w14:paraId="21FCC970" w14:textId="77777777" w:rsidR="009E6DAC" w:rsidRDefault="009E6DAC">
    <w:pPr>
      <w:pStyle w:val="Normale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84F4B"/>
    <w:multiLevelType w:val="multilevel"/>
    <w:tmpl w:val="4BE61AF8"/>
    <w:lvl w:ilvl="0">
      <w:start w:val="5"/>
      <w:numFmt w:val="bullet"/>
      <w:lvlText w:val="-"/>
      <w:lvlJc w:val="left"/>
      <w:pPr>
        <w:ind w:left="720" w:hanging="360"/>
      </w:pPr>
      <w:rPr>
        <w:rFonts w:ascii="Tahoma" w:hAnsi="Tahoma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0627FF3"/>
    <w:multiLevelType w:val="multilevel"/>
    <w:tmpl w:val="AA94795E"/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10C579D"/>
    <w:multiLevelType w:val="multilevel"/>
    <w:tmpl w:val="F1828B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FE2978"/>
    <w:multiLevelType w:val="multilevel"/>
    <w:tmpl w:val="19DC5FAC"/>
    <w:lvl w:ilvl="0">
      <w:start w:val="1"/>
      <w:numFmt w:val="bullet"/>
      <w:lvlText w:val="•"/>
      <w:lvlJc w:val="left"/>
      <w:pPr>
        <w:ind w:left="1500" w:hanging="360"/>
      </w:pPr>
      <w:rPr>
        <w:rFonts w:ascii="Symbol" w:hAnsi="Symbol"/>
      </w:rPr>
    </w:lvl>
    <w:lvl w:ilvl="1">
      <w:start w:val="1"/>
      <w:numFmt w:val="bullet"/>
      <w:lvlText w:val="○"/>
      <w:lvlJc w:val="left"/>
      <w:pPr>
        <w:ind w:left="222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Wingdings" w:hAnsi="Wingdings"/>
      </w:rPr>
    </w:lvl>
    <w:lvl w:ilvl="3">
      <w:start w:val="1"/>
      <w:numFmt w:val="bullet"/>
      <w:lvlText w:val="•"/>
      <w:lvlJc w:val="left"/>
      <w:pPr>
        <w:ind w:left="3660" w:hanging="360"/>
      </w:pPr>
      <w:rPr>
        <w:rFonts w:ascii="Symbol" w:hAnsi="Symbol"/>
      </w:rPr>
    </w:lvl>
    <w:lvl w:ilvl="4">
      <w:start w:val="1"/>
      <w:numFmt w:val="bullet"/>
      <w:lvlText w:val="○"/>
      <w:lvlJc w:val="left"/>
      <w:pPr>
        <w:ind w:left="438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Wingdings" w:hAnsi="Wingdings"/>
      </w:rPr>
    </w:lvl>
    <w:lvl w:ilvl="6">
      <w:start w:val="1"/>
      <w:numFmt w:val="bullet"/>
      <w:lvlText w:val="•"/>
      <w:lvlJc w:val="left"/>
      <w:pPr>
        <w:ind w:left="5820" w:hanging="360"/>
      </w:pPr>
      <w:rPr>
        <w:rFonts w:ascii="Symbol" w:hAnsi="Symbol"/>
      </w:rPr>
    </w:lvl>
    <w:lvl w:ilvl="7">
      <w:start w:val="1"/>
      <w:numFmt w:val="bullet"/>
      <w:lvlText w:val="○"/>
      <w:lvlJc w:val="left"/>
      <w:pPr>
        <w:ind w:left="654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Wingdings" w:hAnsi="Wingdings"/>
      </w:rPr>
    </w:lvl>
  </w:abstractNum>
  <w:abstractNum w:abstractNumId="4" w15:restartNumberingAfterBreak="0">
    <w:nsid w:val="38142102"/>
    <w:multiLevelType w:val="multilevel"/>
    <w:tmpl w:val="F8AC9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0442F4"/>
    <w:multiLevelType w:val="multilevel"/>
    <w:tmpl w:val="99A0F5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79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62B1C2F"/>
    <w:multiLevelType w:val="multilevel"/>
    <w:tmpl w:val="2A1258AE"/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B51301C"/>
    <w:multiLevelType w:val="singleLevel"/>
    <w:tmpl w:val="AC2ED75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/>
      </w:rPr>
    </w:lvl>
  </w:abstractNum>
  <w:num w:numId="1" w16cid:durableId="1402366963">
    <w:abstractNumId w:val="5"/>
  </w:num>
  <w:num w:numId="2" w16cid:durableId="1082990652">
    <w:abstractNumId w:val="7"/>
  </w:num>
  <w:num w:numId="3" w16cid:durableId="378359791">
    <w:abstractNumId w:val="0"/>
  </w:num>
  <w:num w:numId="4" w16cid:durableId="822619782">
    <w:abstractNumId w:val="3"/>
  </w:num>
  <w:num w:numId="5" w16cid:durableId="1796874334">
    <w:abstractNumId w:val="6"/>
  </w:num>
  <w:num w:numId="6" w16cid:durableId="726294473">
    <w:abstractNumId w:val="1"/>
  </w:num>
  <w:num w:numId="7" w16cid:durableId="909148023">
    <w:abstractNumId w:val="2"/>
  </w:num>
  <w:num w:numId="8" w16cid:durableId="239565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DAC"/>
    <w:rsid w:val="00110E67"/>
    <w:rsid w:val="001A36C7"/>
    <w:rsid w:val="003A49AE"/>
    <w:rsid w:val="003B65F7"/>
    <w:rsid w:val="00477D86"/>
    <w:rsid w:val="005770AD"/>
    <w:rsid w:val="00635D8F"/>
    <w:rsid w:val="006B3922"/>
    <w:rsid w:val="006C05FB"/>
    <w:rsid w:val="006E7042"/>
    <w:rsid w:val="009E6DAC"/>
    <w:rsid w:val="00A32FFC"/>
    <w:rsid w:val="00B3334A"/>
    <w:rsid w:val="00B704B4"/>
    <w:rsid w:val="00BF7F65"/>
    <w:rsid w:val="00D60102"/>
    <w:rsid w:val="00EF2750"/>
    <w:rsid w:val="00F0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5DC1"/>
  <w15:docId w15:val="{F6473C83-0120-47C1-B75D-511523EF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hAnsi="Aptos"/>
      <w:color w:val="0F4761"/>
      <w:sz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hAnsi="Aptos"/>
      <w:i/>
      <w:color w:val="0F4761"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hAnsi="Aptos"/>
      <w:color w:val="0F4761"/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rFonts w:ascii="Aptos" w:hAnsi="Aptos"/>
      <w:i/>
      <w:color w:val="595959"/>
      <w:sz w:val="24"/>
    </w:rPr>
  </w:style>
  <w:style w:type="paragraph" w:styleId="Titolo7">
    <w:name w:val="heading 7"/>
    <w:basedOn w:val="Normale"/>
    <w:next w:val="Normale"/>
    <w:uiPriority w:val="16"/>
    <w:pPr>
      <w:keepNext/>
      <w:keepLines/>
      <w:spacing w:before="40"/>
      <w:outlineLvl w:val="6"/>
    </w:pPr>
    <w:rPr>
      <w:rFonts w:ascii="Aptos" w:hAnsi="Aptos"/>
      <w:color w:val="595959"/>
      <w:sz w:val="24"/>
    </w:rPr>
  </w:style>
  <w:style w:type="paragraph" w:styleId="Titolo8">
    <w:name w:val="heading 8"/>
    <w:basedOn w:val="Normale"/>
    <w:next w:val="Normale"/>
    <w:uiPriority w:val="17"/>
    <w:pPr>
      <w:keepNext/>
      <w:keepLines/>
      <w:outlineLvl w:val="7"/>
    </w:pPr>
    <w:rPr>
      <w:rFonts w:ascii="Aptos" w:hAnsi="Aptos"/>
      <w:i/>
      <w:color w:val="272727"/>
      <w:sz w:val="24"/>
    </w:rPr>
  </w:style>
  <w:style w:type="paragraph" w:styleId="Titolo9">
    <w:name w:val="heading 9"/>
    <w:basedOn w:val="Normale"/>
    <w:next w:val="Normale"/>
    <w:uiPriority w:val="18"/>
    <w:pPr>
      <w:keepNext/>
      <w:keepLines/>
      <w:outlineLvl w:val="8"/>
    </w:pPr>
    <w:rPr>
      <w:rFonts w:ascii="Aptos" w:hAnsi="Aptos"/>
      <w:color w:val="272727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jc w:val="both"/>
    </w:pPr>
    <w:rPr>
      <w:sz w:val="24"/>
    </w:rPr>
  </w:style>
  <w:style w:type="paragraph" w:customStyle="1" w:styleId="Titolo1TitoloCapitolo">
    <w:name w:val="Titolo 1;Titolo Capitolo"/>
    <w:basedOn w:val="Normale1"/>
    <w:pPr>
      <w:keepNext/>
      <w:jc w:val="center"/>
      <w:outlineLvl w:val="0"/>
    </w:pPr>
    <w:rPr>
      <w:b/>
    </w:rPr>
  </w:style>
  <w:style w:type="paragraph" w:customStyle="1" w:styleId="Titolo21">
    <w:name w:val="Titolo 21"/>
    <w:basedOn w:val="Normale1"/>
    <w:pPr>
      <w:keepNext/>
      <w:outlineLvl w:val="1"/>
    </w:pPr>
    <w:rPr>
      <w:b/>
    </w:rPr>
  </w:style>
  <w:style w:type="paragraph" w:customStyle="1" w:styleId="Titolo31">
    <w:name w:val="Titolo 31"/>
    <w:basedOn w:val="Normale1"/>
    <w:pPr>
      <w:keepNext/>
      <w:outlineLvl w:val="2"/>
    </w:pPr>
    <w:rPr>
      <w:b/>
      <w:sz w:val="22"/>
    </w:rPr>
  </w:style>
  <w:style w:type="paragraph" w:customStyle="1" w:styleId="Titolo41">
    <w:name w:val="Titolo 41"/>
    <w:basedOn w:val="Normale1"/>
    <w:pPr>
      <w:keepNext/>
      <w:outlineLvl w:val="3"/>
    </w:pPr>
    <w:rPr>
      <w:rFonts w:ascii="Verdana" w:hAnsi="Verdana"/>
      <w:b/>
      <w:sz w:val="20"/>
    </w:rPr>
  </w:style>
  <w:style w:type="paragraph" w:customStyle="1" w:styleId="Titolo51">
    <w:name w:val="Titolo 51"/>
    <w:basedOn w:val="Normale1"/>
    <w:pPr>
      <w:keepNext/>
      <w:jc w:val="center"/>
      <w:outlineLvl w:val="4"/>
    </w:pPr>
    <w:rPr>
      <w:sz w:val="28"/>
    </w:rPr>
  </w:style>
  <w:style w:type="paragraph" w:customStyle="1" w:styleId="Titolo61">
    <w:name w:val="Titolo 61"/>
    <w:basedOn w:val="Normale1"/>
    <w:pPr>
      <w:keepNext/>
      <w:jc w:val="left"/>
      <w:outlineLvl w:val="5"/>
    </w:pPr>
    <w:rPr>
      <w:rFonts w:ascii="Arial" w:hAnsi="Arial"/>
      <w:b/>
      <w:color w:val="000000"/>
      <w:sz w:val="18"/>
    </w:rPr>
  </w:style>
  <w:style w:type="paragraph" w:customStyle="1" w:styleId="Titolo71">
    <w:name w:val="Titolo 71"/>
    <w:basedOn w:val="Normale1"/>
    <w:pPr>
      <w:keepNext/>
      <w:outlineLvl w:val="6"/>
    </w:pPr>
    <w:rPr>
      <w:rFonts w:ascii="Arial" w:hAnsi="Arial"/>
      <w:b/>
      <w:sz w:val="18"/>
    </w:rPr>
  </w:style>
  <w:style w:type="paragraph" w:customStyle="1" w:styleId="Titolo81">
    <w:name w:val="Titolo 81"/>
    <w:basedOn w:val="Normale1"/>
    <w:pPr>
      <w:keepNext/>
      <w:ind w:right="-1"/>
      <w:jc w:val="center"/>
      <w:outlineLvl w:val="7"/>
    </w:pPr>
    <w:rPr>
      <w:rFonts w:ascii="MyriadPro-It" w:hAnsi="MyriadPro-It"/>
      <w:sz w:val="36"/>
    </w:rPr>
  </w:style>
  <w:style w:type="paragraph" w:customStyle="1" w:styleId="Titolo91">
    <w:name w:val="Titolo 91"/>
    <w:basedOn w:val="Normale1"/>
    <w:pPr>
      <w:keepNext/>
      <w:ind w:right="-1"/>
      <w:jc w:val="center"/>
      <w:outlineLvl w:val="8"/>
    </w:pPr>
    <w:rPr>
      <w:rFonts w:ascii="Arial" w:hAnsi="Arial"/>
      <w:b/>
      <w:sz w:val="32"/>
    </w:rPr>
  </w:style>
  <w:style w:type="character" w:customStyle="1" w:styleId="CarPredefinitoParagrafo0">
    <w:name w:val="Car. Predefinito Paragrafo"/>
  </w:style>
  <w:style w:type="table" w:customStyle="1" w:styleId="TabellaNormale0">
    <w:name w:val="Tabella Normale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0">
    <w:name w:val="Nessun Elenco"/>
  </w:style>
  <w:style w:type="character" w:customStyle="1" w:styleId="Titolo4Carattere">
    <w:name w:val="Titolo 4 Carattere"/>
    <w:rPr>
      <w:rFonts w:ascii="Verdana" w:hAnsi="Verdana"/>
      <w:b/>
    </w:rPr>
  </w:style>
  <w:style w:type="character" w:customStyle="1" w:styleId="Titolo5Carattere">
    <w:name w:val="Titolo 5 Carattere"/>
    <w:rPr>
      <w:sz w:val="28"/>
    </w:rPr>
  </w:style>
  <w:style w:type="character" w:customStyle="1" w:styleId="Titolo6Carattere">
    <w:name w:val="Titolo 6 Carattere"/>
    <w:rPr>
      <w:rFonts w:ascii="Arial" w:hAnsi="Arial"/>
      <w:b/>
      <w:color w:val="000000"/>
      <w:sz w:val="18"/>
    </w:rPr>
  </w:style>
  <w:style w:type="paragraph" w:customStyle="1" w:styleId="CorpoTestoTextbtBODYTEXTbodyTexttBlockTextheadingtxtbodytxy2ParaEHPTBodyText2bt1bodytextBTtxt1T1Title1EDStextspbulletTitlesbsblockTextResumeTextbt4bodyText4bt5bodyText5bodyText1txtextJustifiedppRFPText">
    <w:name w:val="Corpo Testo;Text;bt;BODY TEXT;body Text;t;Block Text;heading_txt;bodytxy2;Para;EHPT;Body Text2;bt1;bodytext;BT;txt1;T1;Title 1;EDStext;sp;bullet Title;sbs;block Text;Resume Text;bt4;body Text4;bt5;body Text5;body Text1;tx;text;Justified;pp;RFP Text"/>
    <w:basedOn w:val="Normale1"/>
    <w:rPr>
      <w:sz w:val="28"/>
    </w:rPr>
  </w:style>
  <w:style w:type="paragraph" w:customStyle="1" w:styleId="CorpoDelTesto2">
    <w:name w:val="Corpo Del Testo 2"/>
    <w:basedOn w:val="Normale1"/>
    <w:rPr>
      <w:sz w:val="26"/>
    </w:rPr>
  </w:style>
  <w:style w:type="paragraph" w:customStyle="1" w:styleId="Titolo10">
    <w:name w:val="Titolo1"/>
    <w:basedOn w:val="Normale1"/>
    <w:pPr>
      <w:jc w:val="center"/>
    </w:pPr>
    <w:rPr>
      <w:i/>
      <w:sz w:val="26"/>
    </w:rPr>
  </w:style>
  <w:style w:type="paragraph" w:customStyle="1" w:styleId="Sottotitolo1">
    <w:name w:val="Sottotitolo1"/>
    <w:basedOn w:val="Normale1"/>
    <w:pPr>
      <w:jc w:val="center"/>
    </w:pPr>
    <w:rPr>
      <w:b/>
      <w:sz w:val="32"/>
    </w:rPr>
  </w:style>
  <w:style w:type="character" w:customStyle="1" w:styleId="CollegamentoIpertestuale">
    <w:name w:val="Collegamento Ipertestuale"/>
    <w:rPr>
      <w:color w:val="0000FF"/>
      <w:u w:val="single"/>
    </w:rPr>
  </w:style>
  <w:style w:type="paragraph" w:customStyle="1" w:styleId="MappaDocumento">
    <w:name w:val="Mappa Documento"/>
    <w:basedOn w:val="Normale1"/>
    <w:rPr>
      <w:rFonts w:ascii="Tahoma" w:hAnsi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PiDiPagina">
    <w:name w:val="Piè Di Pagina"/>
    <w:basedOn w:val="Normale1"/>
    <w:pPr>
      <w:tabs>
        <w:tab w:val="center" w:pos="4819"/>
        <w:tab w:val="right" w:pos="9638"/>
      </w:tabs>
    </w:pPr>
  </w:style>
  <w:style w:type="paragraph" w:customStyle="1" w:styleId="CorpoDelTesto3">
    <w:name w:val="Corpo Del Testo 3"/>
    <w:basedOn w:val="Normale1"/>
    <w:rPr>
      <w:i/>
    </w:rPr>
  </w:style>
  <w:style w:type="paragraph" w:customStyle="1" w:styleId="S2">
    <w:name w:val="S2"/>
    <w:basedOn w:val="Normale1"/>
    <w:pPr>
      <w:jc w:val="left"/>
      <w:outlineLvl w:val="0"/>
    </w:pPr>
    <w:rPr>
      <w:rFonts w:ascii="Tempus Sans ITC" w:hAnsi="Tempus Sans ITC"/>
      <w:b/>
      <w:sz w:val="26"/>
    </w:rPr>
  </w:style>
  <w:style w:type="paragraph" w:customStyle="1" w:styleId="TestoNotaAPiDiPaginaFootnoteFootnote1Footnote2Footnote3Footnote4Footnote5Footnote6Footnote7Footnote8Footnote9Footnote10Footnote11Footnote21Footnote31Footnote41Footnote51Footnote61Footnote71Footnote81Footnote91Footnote12">
    <w:name w:val="Testo Nota A Piè Di Pagina;Footnote;Footnote1;Footnote2;Footnote3;Footnote4;Footnote5;Footnote6;Footnote7;Footnote8;Footnote9;Footnote10;Footnote11;Footnote21;Footnote31;Footnote41;Footnote51;Footnote61;Footnote71;Footnote81;Footnote91;Footnote12"/>
    <w:basedOn w:val="Normale1"/>
    <w:pPr>
      <w:jc w:val="left"/>
    </w:pPr>
    <w:rPr>
      <w:sz w:val="20"/>
    </w:rPr>
  </w:style>
  <w:style w:type="character" w:customStyle="1" w:styleId="RimandoNotaAPiDiPagina">
    <w:name w:val="Rimando Nota A Piè Di Pagina"/>
  </w:style>
  <w:style w:type="paragraph" w:customStyle="1" w:styleId="TestoDelBlocco">
    <w:name w:val="Testo Del Blocco"/>
    <w:basedOn w:val="Normale1"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1"/>
    <w:pPr>
      <w:spacing w:before="120" w:after="60"/>
    </w:pPr>
    <w:rPr>
      <w:b w:val="0"/>
      <w:i/>
    </w:rPr>
  </w:style>
  <w:style w:type="paragraph" w:customStyle="1" w:styleId="Xl41">
    <w:name w:val="Xl41"/>
    <w:basedOn w:val="Normale1"/>
    <w:pPr>
      <w:spacing w:before="100" w:after="100"/>
    </w:pPr>
  </w:style>
  <w:style w:type="paragraph" w:customStyle="1" w:styleId="Didascalia1">
    <w:name w:val="Didascalia1"/>
    <w:basedOn w:val="Normale1"/>
    <w:pPr>
      <w:spacing w:after="240"/>
    </w:pPr>
    <w:rPr>
      <w:i/>
      <w:sz w:val="20"/>
    </w:rPr>
  </w:style>
  <w:style w:type="paragraph" w:customStyle="1" w:styleId="Fonte">
    <w:name w:val="Fonte"/>
    <w:basedOn w:val="Didascalia1"/>
    <w:pPr>
      <w:spacing w:after="0"/>
    </w:pPr>
    <w:rPr>
      <w:i w:val="0"/>
      <w:sz w:val="18"/>
    </w:rPr>
  </w:style>
  <w:style w:type="paragraph" w:customStyle="1" w:styleId="Stile1">
    <w:name w:val="Stile1"/>
    <w:basedOn w:val="Normale1"/>
    <w:pPr>
      <w:spacing w:after="240"/>
    </w:pPr>
    <w:rPr>
      <w:rFonts w:ascii="Courier New" w:hAnsi="Courier New"/>
      <w:sz w:val="20"/>
    </w:rPr>
  </w:style>
  <w:style w:type="paragraph" w:customStyle="1" w:styleId="Sommario41">
    <w:name w:val="Sommario 41"/>
    <w:basedOn w:val="Normale1"/>
    <w:pPr>
      <w:spacing w:after="240"/>
      <w:ind w:left="720"/>
    </w:pPr>
  </w:style>
  <w:style w:type="paragraph" w:customStyle="1" w:styleId="Sommario61">
    <w:name w:val="Sommario 61"/>
    <w:basedOn w:val="Normale1"/>
    <w:pPr>
      <w:spacing w:after="240"/>
      <w:ind w:left="1200"/>
    </w:pPr>
  </w:style>
  <w:style w:type="paragraph" w:customStyle="1" w:styleId="Sommario31">
    <w:name w:val="Sommario 31"/>
    <w:basedOn w:val="Normale1"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1"/>
    <w:pPr>
      <w:keepNext/>
      <w:spacing w:line="360" w:lineRule="auto"/>
      <w:ind w:firstLine="708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rPr>
      <w:sz w:val="24"/>
    </w:rPr>
  </w:style>
  <w:style w:type="paragraph" w:customStyle="1" w:styleId="RientroCorpoDelTesto">
    <w:name w:val="Rientro Corpo Del Testo"/>
    <w:basedOn w:val="Normale1"/>
    <w:pPr>
      <w:ind w:left="708"/>
    </w:pPr>
  </w:style>
  <w:style w:type="character" w:customStyle="1" w:styleId="RientroCorpoDelTesto2Carattere">
    <w:name w:val="Rientro Corpo Del Testo 2 Carattere"/>
    <w:rPr>
      <w:rFonts w:ascii="Tahoma" w:hAnsi="Tahoma"/>
      <w:b/>
      <w:sz w:val="32"/>
    </w:rPr>
  </w:style>
  <w:style w:type="paragraph" w:customStyle="1" w:styleId="RientroCorpoDelTesto2">
    <w:name w:val="Rientro Corpo Del Testo 2"/>
    <w:basedOn w:val="Normale1"/>
    <w:pPr>
      <w:spacing w:line="360" w:lineRule="auto"/>
      <w:ind w:left="-840"/>
      <w:jc w:val="left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rPr>
      <w:rFonts w:ascii="Tahoma" w:hAnsi="Tahoma"/>
      <w:sz w:val="28"/>
    </w:rPr>
  </w:style>
  <w:style w:type="paragraph" w:customStyle="1" w:styleId="RientroCorpoDelTesto3">
    <w:name w:val="Rientro Corpo Del Testo 3"/>
    <w:basedOn w:val="Normale1"/>
    <w:pPr>
      <w:ind w:left="708"/>
      <w:jc w:val="left"/>
    </w:pPr>
    <w:rPr>
      <w:rFonts w:ascii="Tahoma" w:hAnsi="Tahoma"/>
      <w:sz w:val="28"/>
    </w:rPr>
  </w:style>
  <w:style w:type="paragraph" w:customStyle="1" w:styleId="RientroLettere">
    <w:name w:val="Rientro Lettere"/>
    <w:basedOn w:val="Normale1"/>
    <w:pPr>
      <w:jc w:val="left"/>
    </w:pPr>
    <w:rPr>
      <w:sz w:val="20"/>
    </w:rPr>
  </w:style>
  <w:style w:type="paragraph" w:customStyle="1" w:styleId="ParagrafoElenco">
    <w:name w:val="Paragrafo Elenco"/>
    <w:basedOn w:val="Normale1"/>
    <w:pPr>
      <w:spacing w:after="200" w:line="276" w:lineRule="auto"/>
      <w:ind w:left="720"/>
      <w:jc w:val="left"/>
    </w:pPr>
    <w:rPr>
      <w:rFonts w:ascii="Calibri" w:hAnsi="Calibri"/>
      <w:sz w:val="22"/>
    </w:rPr>
  </w:style>
  <w:style w:type="character" w:customStyle="1" w:styleId="TestoFumettoCarattere">
    <w:name w:val="Testo Fumetto Carattere"/>
    <w:rPr>
      <w:rFonts w:ascii="Tahoma" w:hAnsi="Tahoma"/>
      <w:sz w:val="16"/>
    </w:rPr>
  </w:style>
  <w:style w:type="paragraph" w:customStyle="1" w:styleId="TestoFumetto">
    <w:name w:val="Testo Fumetto"/>
    <w:basedOn w:val="Normale1"/>
    <w:pPr>
      <w:jc w:val="left"/>
    </w:pPr>
    <w:rPr>
      <w:rFonts w:ascii="Tahoma" w:hAnsi="Tahoma"/>
      <w:sz w:val="16"/>
    </w:rPr>
  </w:style>
  <w:style w:type="character" w:customStyle="1" w:styleId="Style132">
    <w:name w:val="Style132"/>
  </w:style>
  <w:style w:type="paragraph" w:customStyle="1" w:styleId="NormaleWeb1">
    <w:name w:val="Normale (Web)1"/>
    <w:basedOn w:val="Normale1"/>
    <w:pPr>
      <w:spacing w:before="100" w:after="100"/>
      <w:jc w:val="left"/>
    </w:pPr>
  </w:style>
  <w:style w:type="character" w:customStyle="1" w:styleId="Enfasigrassetto1">
    <w:name w:val="Enfasi (grassetto)1"/>
    <w:rPr>
      <w:b/>
    </w:rPr>
  </w:style>
  <w:style w:type="table" w:customStyle="1" w:styleId="GrigliaTabella">
    <w:name w:val="Griglia Tabella"/>
    <w:basedOn w:val="TabellaNormale0"/>
    <w:tblPr/>
  </w:style>
  <w:style w:type="character" w:customStyle="1" w:styleId="TestoNotaAPiDiPaginaCarattere">
    <w:name w:val="Testo Nota A Piè Di Pagina Carattere"/>
  </w:style>
  <w:style w:type="character" w:customStyle="1" w:styleId="TabItem">
    <w:name w:val="Tab Item"/>
    <w:rPr>
      <w:rFonts w:ascii="Courier New" w:hAnsi="Courier New"/>
    </w:rPr>
  </w:style>
  <w:style w:type="paragraph" w:customStyle="1" w:styleId="IsnartTabItem">
    <w:name w:val="Isnart Tab Item"/>
    <w:basedOn w:val="Normale1"/>
    <w:pPr>
      <w:spacing w:before="60" w:after="60"/>
      <w:jc w:val="left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rPr>
      <w:sz w:val="24"/>
    </w:rPr>
  </w:style>
  <w:style w:type="character" w:customStyle="1" w:styleId="PiDiPaginaCarattere">
    <w:name w:val="Piè Di Pagina Carattere"/>
    <w:rPr>
      <w:sz w:val="24"/>
    </w:rPr>
  </w:style>
  <w:style w:type="paragraph" w:customStyle="1" w:styleId="P1">
    <w:name w:val="P1"/>
    <w:basedOn w:val="Normale1"/>
    <w:pPr>
      <w:jc w:val="left"/>
    </w:pPr>
    <w:rPr>
      <w:rFonts w:ascii="Helvetica" w:hAnsi="Helvetica"/>
      <w:color w:val="000000"/>
      <w:sz w:val="15"/>
    </w:rPr>
  </w:style>
  <w:style w:type="paragraph" w:styleId="Nessunaspaziatura">
    <w:name w:val="No Spacing"/>
    <w:basedOn w:val="Normale"/>
    <w:uiPriority w:val="1"/>
    <w:qFormat/>
  </w:style>
  <w:style w:type="paragraph" w:styleId="Titolo">
    <w:name w:val="Title"/>
    <w:basedOn w:val="Normale"/>
    <w:next w:val="Normale"/>
    <w:uiPriority w:val="10"/>
    <w:qFormat/>
    <w:pPr>
      <w:spacing w:after="80"/>
      <w:contextualSpacing/>
    </w:pPr>
    <w:rPr>
      <w:rFonts w:ascii="Aptos Display" w:hAnsi="Aptos Display"/>
      <w:spacing w:val="-10"/>
      <w:kern w:val="28"/>
      <w:sz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pacing w:val="15"/>
      <w:sz w:val="28"/>
    </w:rPr>
  </w:style>
  <w:style w:type="character" w:styleId="Enfasidelicata">
    <w:name w:val="Subtle Emphasis"/>
    <w:basedOn w:val="Carpredefinitoparagrafo"/>
    <w:uiPriority w:val="19"/>
    <w:qFormat/>
    <w:rPr>
      <w:i/>
      <w:color w:val="404040"/>
    </w:rPr>
  </w:style>
  <w:style w:type="character" w:styleId="Enfasicorsivo">
    <w:name w:val="Emphasis"/>
    <w:basedOn w:val="Carpredefinitoparagrafo"/>
    <w:uiPriority w:val="20"/>
    <w:qFormat/>
    <w:rPr>
      <w:i/>
    </w:rPr>
  </w:style>
  <w:style w:type="character" w:styleId="Enfasiintensa">
    <w:name w:val="Intense Emphasis"/>
    <w:basedOn w:val="Carpredefinitoparagrafo"/>
    <w:uiPriority w:val="21"/>
    <w:qFormat/>
    <w:rPr>
      <w:i/>
      <w:color w:val="0F4761"/>
    </w:rPr>
  </w:style>
  <w:style w:type="character" w:styleId="Enfasigrassetto">
    <w:name w:val="Strong"/>
    <w:basedOn w:val="Carpredefinitoparagrafo"/>
    <w:uiPriority w:val="22"/>
    <w:qFormat/>
    <w:rPr>
      <w:b/>
    </w:rPr>
  </w:style>
  <w:style w:type="paragraph" w:styleId="Citazione">
    <w:name w:val="Quote"/>
    <w:basedOn w:val="Normale"/>
    <w:next w:val="Normale"/>
    <w:uiPriority w:val="29"/>
    <w:qFormat/>
    <w:pPr>
      <w:spacing w:before="160"/>
      <w:jc w:val="center"/>
    </w:pPr>
    <w:rPr>
      <w:i/>
      <w:color w:val="404040"/>
    </w:rPr>
  </w:style>
  <w:style w:type="paragraph" w:styleId="Citazioneintensa">
    <w:name w:val="Intense Quote"/>
    <w:basedOn w:val="Normale"/>
    <w:next w:val="Normale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/>
    </w:rPr>
  </w:style>
  <w:style w:type="character" w:styleId="Riferimentointenso">
    <w:name w:val="Intense Reference"/>
    <w:basedOn w:val="Carpredefinitoparagrafo"/>
    <w:uiPriority w:val="32"/>
    <w:qFormat/>
    <w:rPr>
      <w:b/>
      <w:smallCaps/>
      <w:color w:val="0F4761"/>
      <w:spacing w:val="5"/>
    </w:rPr>
  </w:style>
  <w:style w:type="character" w:styleId="Titolodellibro">
    <w:name w:val="Book Title"/>
    <w:basedOn w:val="Carpredefinitoparagrafo"/>
    <w:uiPriority w:val="33"/>
    <w:qFormat/>
    <w:rPr>
      <w:b/>
      <w:i/>
      <w:spacing w:val="5"/>
    </w:rPr>
  </w:style>
  <w:style w:type="paragraph" w:styleId="Paragrafoelenco0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0">
    <w:name w:val="Hyperlink"/>
    <w:basedOn w:val="Carpredefinitoparagrafo"/>
    <w:uiPriority w:val="99"/>
    <w:rPr>
      <w:color w:val="467886"/>
      <w:u w:val="single"/>
    </w:rPr>
  </w:style>
  <w:style w:type="paragraph" w:styleId="Didascalia">
    <w:name w:val="caption"/>
    <w:basedOn w:val="Normale"/>
    <w:next w:val="Normale"/>
    <w:uiPriority w:val="35"/>
    <w:pPr>
      <w:spacing w:after="200"/>
    </w:pPr>
    <w:rPr>
      <w:i/>
      <w:color w:val="0E2841"/>
      <w:sz w:val="18"/>
    </w:rPr>
  </w:style>
  <w:style w:type="paragraph" w:styleId="Intestazione">
    <w:name w:val="header"/>
    <w:basedOn w:val="Normale"/>
    <w:uiPriority w:val="99"/>
    <w:pPr>
      <w:tabs>
        <w:tab w:val="center" w:pos="4680"/>
        <w:tab w:val="right" w:pos="9360"/>
      </w:tabs>
    </w:pPr>
  </w:style>
  <w:style w:type="paragraph" w:styleId="Pidipagina0">
    <w:name w:val="footer"/>
    <w:basedOn w:val="Normale"/>
    <w:uiPriority w:val="99"/>
    <w:pPr>
      <w:tabs>
        <w:tab w:val="center" w:pos="4680"/>
        <w:tab w:val="right" w:pos="9360"/>
      </w:tabs>
    </w:pPr>
  </w:style>
  <w:style w:type="paragraph" w:styleId="Testonotaapidipagina">
    <w:name w:val="footnote text"/>
    <w:basedOn w:val="Normale"/>
    <w:uiPriority w:val="99"/>
  </w:style>
  <w:style w:type="character" w:styleId="Rimandonotaapidipagina0">
    <w:name w:val="footnote reference"/>
    <w:basedOn w:val="Carpredefinitoparagrafo"/>
    <w:uiPriority w:val="99"/>
    <w:rPr>
      <w:vertAlign w:val="superscript"/>
    </w:rPr>
  </w:style>
  <w:style w:type="paragraph" w:styleId="Testonotadichiusura">
    <w:name w:val="endnote text"/>
    <w:basedOn w:val="Normale"/>
    <w:uiPriority w:val="99"/>
  </w:style>
  <w:style w:type="character" w:styleId="Rimandonotadichiusura">
    <w:name w:val="endnote reference"/>
    <w:basedOn w:val="Carpredefinitoparagrafo"/>
    <w:uiPriority w:val="99"/>
    <w:rPr>
      <w:vertAlign w:val="superscript"/>
    </w:rPr>
  </w:style>
  <w:style w:type="paragraph" w:styleId="Titolosommario">
    <w:name w:val="TOC Heading"/>
    <w:basedOn w:val="Titolo1"/>
    <w:next w:val="Normale"/>
    <w:uiPriority w:val="39"/>
    <w:pPr>
      <w:spacing w:before="240"/>
      <w:outlineLvl w:val="9"/>
    </w:pPr>
  </w:style>
  <w:style w:type="paragraph" w:styleId="Sommario1">
    <w:name w:val="toc 1"/>
    <w:basedOn w:val="Normale"/>
    <w:next w:val="Normale"/>
    <w:uiPriority w:val="39"/>
    <w:pPr>
      <w:spacing w:after="100"/>
    </w:pPr>
  </w:style>
  <w:style w:type="paragraph" w:styleId="Sommario2">
    <w:name w:val="toc 2"/>
    <w:basedOn w:val="Normale"/>
    <w:next w:val="Normale"/>
    <w:uiPriority w:val="39"/>
    <w:pPr>
      <w:spacing w:after="100"/>
      <w:ind w:left="240"/>
    </w:pPr>
  </w:style>
  <w:style w:type="paragraph" w:styleId="Sommario3">
    <w:name w:val="toc 3"/>
    <w:basedOn w:val="Normale"/>
    <w:next w:val="Normale"/>
    <w:uiPriority w:val="39"/>
    <w:pPr>
      <w:spacing w:after="100"/>
      <w:ind w:left="480"/>
    </w:pPr>
  </w:style>
  <w:style w:type="paragraph" w:styleId="Sommario4">
    <w:name w:val="toc 4"/>
    <w:basedOn w:val="Normale"/>
    <w:next w:val="Normale"/>
    <w:uiPriority w:val="39"/>
    <w:pPr>
      <w:spacing w:after="100"/>
      <w:ind w:left="720"/>
    </w:pPr>
  </w:style>
  <w:style w:type="paragraph" w:styleId="Sommario5">
    <w:name w:val="toc 5"/>
    <w:basedOn w:val="Normale"/>
    <w:next w:val="Normale"/>
    <w:uiPriority w:val="39"/>
    <w:pPr>
      <w:spacing w:after="100"/>
      <w:ind w:left="960"/>
    </w:pPr>
  </w:style>
  <w:style w:type="paragraph" w:styleId="Sommario6">
    <w:name w:val="toc 6"/>
    <w:basedOn w:val="Normale"/>
    <w:next w:val="Normale"/>
    <w:uiPriority w:val="39"/>
    <w:pPr>
      <w:spacing w:after="100"/>
      <w:ind w:left="1200"/>
    </w:pPr>
  </w:style>
  <w:style w:type="paragraph" w:styleId="Sommario7">
    <w:name w:val="toc 7"/>
    <w:basedOn w:val="Normale"/>
    <w:next w:val="Normale"/>
    <w:uiPriority w:val="39"/>
    <w:pPr>
      <w:spacing w:after="100"/>
      <w:ind w:left="1440"/>
    </w:pPr>
  </w:style>
  <w:style w:type="paragraph" w:styleId="Sommario8">
    <w:name w:val="toc 8"/>
    <w:basedOn w:val="Normale"/>
    <w:next w:val="Normale"/>
    <w:uiPriority w:val="39"/>
    <w:pPr>
      <w:spacing w:after="100"/>
      <w:ind w:left="1680"/>
    </w:pPr>
  </w:style>
  <w:style w:type="paragraph" w:styleId="Sommario9">
    <w:name w:val="toc 9"/>
    <w:basedOn w:val="Normale"/>
    <w:next w:val="Normale"/>
    <w:uiPriority w:val="39"/>
    <w:pPr>
      <w:spacing w:after="100"/>
      <w:ind w:left="1920"/>
    </w:pPr>
  </w:style>
  <w:style w:type="table" w:styleId="Grigliatabella0">
    <w:name w:val="Table Grid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lasemplice-1">
    <w:name w:val="Plain Table 1"/>
    <w:basedOn w:val="Tabellanormale"/>
    <w:uiPriority w:val="60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</w:rPr>
    </w:tblStylePr>
    <w:tblStylePr w:type="firstCol">
      <w:rPr>
        <w:b/>
      </w:rPr>
    </w:tblStylePr>
    <w:tblStylePr w:type="band1Horz">
      <w:tblPr/>
      <w:tcPr>
        <w:shd w:val="clear" w:color="auto" w:fill="F2F2F2"/>
      </w:tcPr>
    </w:tblStylePr>
  </w:style>
  <w:style w:type="table" w:styleId="Tabellagriglia1chiara">
    <w:name w:val="Grid Table 1 Light"/>
    <w:basedOn w:val="Tabellanormale"/>
    <w:uiPriority w:val="60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</w:rPr>
    </w:tblStylePr>
    <w:tblStylePr w:type="firstCol">
      <w:rPr>
        <w:b/>
      </w:rPr>
    </w:tblStylePr>
  </w:style>
  <w:style w:type="table" w:customStyle="1" w:styleId="GridTable4Blue">
    <w:name w:val="Grid Table 4 – Blue"/>
    <w:basedOn w:val="Tabellanormale"/>
    <w:uiPriority w:val="60"/>
    <w:tblPr>
      <w:tblStyleRowBandSize w:val="1"/>
      <w:tblStyleColBandSize w:val="1"/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firstRow">
      <w:rPr>
        <w:b/>
        <w:color w:val="FFFFFF"/>
      </w:rPr>
      <w:tblPr/>
      <w:tcPr>
        <w:shd w:val="clear" w:color="auto" w:fill="156082"/>
      </w:tcPr>
    </w:tblStylePr>
    <w:tblStylePr w:type="firstCol">
      <w:rPr>
        <w:b/>
      </w:rPr>
    </w:tblStylePr>
    <w:tblStylePr w:type="band1Horz">
      <w:tblPr/>
      <w:tcPr>
        <w:shd w:val="clear" w:color="auto" w:fill="C1E4F5"/>
      </w:tcPr>
    </w:tblStylePr>
  </w:style>
  <w:style w:type="table" w:customStyle="1" w:styleId="ListTable3Blue">
    <w:name w:val="List Table 3 – Blue"/>
    <w:basedOn w:val="Tabellanormale"/>
    <w:uiPriority w:val="60"/>
    <w:tblPr>
      <w:tblStyleRowBandSize w:val="1"/>
      <w:tblStyleColBandSize w:val="1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color w:val="FFFFFF"/>
      </w:rPr>
      <w:tblPr/>
      <w:tcPr>
        <w:shd w:val="clear" w:color="auto" w:fill="156082"/>
      </w:tcPr>
    </w:tblStylePr>
    <w:tblStylePr w:type="lastRow">
      <w:tblPr/>
      <w:tcPr>
        <w:tcBorders>
          <w:top w:val="single" w:sz="4" w:space="0" w:color="156082"/>
        </w:tcBorders>
      </w:tcPr>
    </w:tblStylePr>
  </w:style>
  <w:style w:type="table" w:customStyle="1" w:styleId="GridTable4Orange">
    <w:name w:val="Grid Table 4 – Orange"/>
    <w:basedOn w:val="Tabellanormale"/>
    <w:uiPriority w:val="60"/>
    <w:tblPr>
      <w:tblStyleRowBandSize w:val="1"/>
      <w:tblStyleColBandSize w:val="1"/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firstRow">
      <w:rPr>
        <w:b/>
        <w:color w:val="FFFFFF"/>
      </w:rPr>
      <w:tblPr/>
      <w:tcPr>
        <w:shd w:val="clear" w:color="auto" w:fill="E97132"/>
      </w:tcPr>
    </w:tblStylePr>
    <w:tblStylePr w:type="firstCol">
      <w:rPr>
        <w:b/>
      </w:rPr>
    </w:tblStylePr>
    <w:tblStylePr w:type="band1Horz">
      <w:tblPr/>
      <w:tcPr>
        <w:shd w:val="clear" w:color="auto" w:fill="FBE2D5"/>
      </w:tcPr>
    </w:tblStylePr>
  </w:style>
  <w:style w:type="table" w:customStyle="1" w:styleId="ListTable3Orange">
    <w:name w:val="List Table 3 – Orange"/>
    <w:basedOn w:val="Tabellanormale"/>
    <w:uiPriority w:val="60"/>
    <w:tblPr>
      <w:tblStyleRowBandSize w:val="1"/>
      <w:tblStyleColBandSize w:val="1"/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color w:val="FFFFFF"/>
      </w:rPr>
      <w:tblPr/>
      <w:tcPr>
        <w:shd w:val="clear" w:color="auto" w:fill="E97132"/>
      </w:tcPr>
    </w:tblStylePr>
    <w:tblStylePr w:type="lastRow">
      <w:tblPr/>
      <w:tcPr>
        <w:tcBorders>
          <w:top w:val="single" w:sz="4" w:space="0" w:color="E97132"/>
        </w:tcBorders>
      </w:tcPr>
    </w:tblStylePr>
  </w:style>
  <w:style w:type="table" w:customStyle="1" w:styleId="GridTable4Green">
    <w:name w:val="Grid Table 4 – Green"/>
    <w:basedOn w:val="Tabellanormale"/>
    <w:uiPriority w:val="60"/>
    <w:tblPr>
      <w:tblStyleRowBandSize w:val="1"/>
      <w:tblStyleColBandSize w:val="1"/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firstRow">
      <w:rPr>
        <w:b/>
        <w:color w:val="FFFFFF"/>
      </w:rPr>
      <w:tblPr/>
      <w:tcPr>
        <w:shd w:val="clear" w:color="auto" w:fill="196B24"/>
      </w:tcPr>
    </w:tblStylePr>
    <w:tblStylePr w:type="firstCol">
      <w:rPr>
        <w:b/>
      </w:rPr>
    </w:tblStylePr>
    <w:tblStylePr w:type="band1Horz">
      <w:tblPr/>
      <w:tcPr>
        <w:shd w:val="clear" w:color="auto" w:fill="C1F0C8"/>
      </w:tcPr>
    </w:tblStylePr>
  </w:style>
  <w:style w:type="table" w:customStyle="1" w:styleId="ListTable3Green">
    <w:name w:val="List Table 3 – Green"/>
    <w:basedOn w:val="Tabellanormale"/>
    <w:uiPriority w:val="60"/>
    <w:tblPr>
      <w:tblStyleRowBandSize w:val="1"/>
      <w:tblStyleColBandSize w:val="1"/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color w:val="FFFFFF"/>
      </w:rPr>
      <w:tblPr/>
      <w:tcPr>
        <w:shd w:val="clear" w:color="auto" w:fill="196B24"/>
      </w:tcPr>
    </w:tblStylePr>
    <w:tblStylePr w:type="lastRow">
      <w:tblPr/>
      <w:tcPr>
        <w:tcBorders>
          <w:top w:val="single" w:sz="4" w:space="0" w:color="196B24"/>
        </w:tcBorders>
      </w:tcPr>
    </w:tblStylePr>
  </w:style>
  <w:style w:type="table" w:customStyle="1" w:styleId="GridTable4Purple">
    <w:name w:val="Grid Table 4 – Purple"/>
    <w:basedOn w:val="Tabellanormale"/>
    <w:uiPriority w:val="60"/>
    <w:tblPr>
      <w:tblStyleRowBandSize w:val="1"/>
      <w:tblStyleColBandSize w:val="1"/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firstRow">
      <w:rPr>
        <w:b/>
        <w:color w:val="FFFFFF"/>
      </w:rPr>
      <w:tblPr/>
      <w:tcPr>
        <w:shd w:val="clear" w:color="auto" w:fill="712E8D"/>
      </w:tcPr>
    </w:tblStylePr>
    <w:tblStylePr w:type="firstCol">
      <w:rPr>
        <w:b/>
      </w:rPr>
    </w:tblStylePr>
    <w:tblStylePr w:type="band1Horz">
      <w:tblPr/>
      <w:tcPr>
        <w:shd w:val="clear" w:color="auto" w:fill="E5D2EE"/>
      </w:tcPr>
    </w:tblStylePr>
  </w:style>
  <w:style w:type="table" w:customStyle="1" w:styleId="ListTable3Purple">
    <w:name w:val="List Table 3 – Purple"/>
    <w:basedOn w:val="Tabellanormale"/>
    <w:uiPriority w:val="60"/>
    <w:tblPr>
      <w:tblStyleRowBandSize w:val="1"/>
      <w:tblStyleColBandSize w:val="1"/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color w:val="FFFFFF"/>
      </w:rPr>
      <w:tblPr/>
      <w:tcPr>
        <w:shd w:val="clear" w:color="auto" w:fill="712E8D"/>
      </w:tcPr>
    </w:tblStylePr>
    <w:tblStylePr w:type="lastRow">
      <w:tblPr/>
      <w:tcPr>
        <w:tcBorders>
          <w:top w:val="single" w:sz="4" w:space="0" w:color="712E8D"/>
        </w:tcBorders>
      </w:tcPr>
    </w:tblStylePr>
  </w:style>
  <w:style w:type="paragraph" w:styleId="NormaleWeb">
    <w:name w:val="Normal (Web)"/>
    <w:basedOn w:val="Normale"/>
    <w:uiPriority w:val="99"/>
    <w:semiHidden/>
    <w:unhideWhenUsed/>
    <w:rsid w:val="003A49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Altina</dc:creator>
  <cp:lastModifiedBy>Alessandra Altina</cp:lastModifiedBy>
  <cp:revision>8</cp:revision>
  <cp:lastPrinted>2026-10-27T11:17:00Z</cp:lastPrinted>
  <dcterms:created xsi:type="dcterms:W3CDTF">2026-10-26T13:03:00Z</dcterms:created>
  <dcterms:modified xsi:type="dcterms:W3CDTF">2026-10-27T12:17:00Z</dcterms:modified>
</cp:coreProperties>
</file>