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93736" w14:textId="77777777" w:rsidR="00CF65E8" w:rsidRDefault="00000000">
      <w:pPr>
        <w:spacing w:line="276" w:lineRule="auto"/>
        <w:ind w:left="-850" w:right="-567"/>
        <w:rPr>
          <w:rFonts w:ascii="Titillium Web" w:eastAsia="Titillium Web" w:hAnsi="Titillium Web" w:cs="Titillium Web"/>
          <w:u w:val="single"/>
        </w:rPr>
      </w:pPr>
      <w:r>
        <w:rPr>
          <w:rFonts w:ascii="Titillium Web" w:eastAsia="Titillium Web" w:hAnsi="Titillium Web" w:cs="Titillium Web"/>
          <w:b/>
          <w:bCs/>
        </w:rPr>
        <w:br/>
      </w:r>
      <w:r>
        <w:rPr>
          <w:rFonts w:ascii="Titillium Web" w:eastAsia="Titillium Web" w:hAnsi="Titillium Web" w:cs="Titillium Web"/>
          <w:u w:val="single"/>
        </w:rPr>
        <w:t>Comunicato Stampa</w:t>
      </w:r>
      <w:r>
        <w:rPr>
          <w:rFonts w:ascii="Titillium Web" w:eastAsia="Titillium Web" w:hAnsi="Titillium Web" w:cs="Titillium Web"/>
          <w:u w:val="single"/>
        </w:rPr>
        <w:br/>
      </w:r>
      <w:r>
        <w:rPr>
          <w:rFonts w:ascii="Titillium Web" w:eastAsia="Titillium Web" w:hAnsi="Titillium Web" w:cs="Titillium Web"/>
          <w:u w:val="single"/>
        </w:rPr>
        <w:br/>
        <w:t>LINK AL PRESS KIT (CON FOTO E ALTRI MATERIALI): https://drive.google.com/drive/folders/1nNWXv5cG5zno-1PkeJ6A1u0H-t8fqY1s?usp=drive_link</w:t>
      </w:r>
    </w:p>
    <w:p w14:paraId="7F67F6CB" w14:textId="77777777" w:rsidR="00CF65E8" w:rsidRDefault="00CF65E8">
      <w:pPr>
        <w:spacing w:line="276" w:lineRule="auto"/>
        <w:ind w:left="-850" w:right="-567"/>
        <w:rPr>
          <w:rFonts w:ascii="Titillium Web" w:eastAsia="Titillium Web" w:hAnsi="Titillium Web" w:cs="Titillium Web"/>
          <w:u w:val="single"/>
        </w:rPr>
      </w:pPr>
    </w:p>
    <w:p w14:paraId="5273C454" w14:textId="77777777" w:rsidR="00CF65E8" w:rsidRDefault="00000000">
      <w:pPr>
        <w:spacing w:before="240" w:after="240" w:line="276" w:lineRule="auto"/>
        <w:rPr>
          <w:rFonts w:ascii="Titillium Web" w:eastAsia="Titillium Web" w:hAnsi="Titillium Web" w:cs="Titillium Web"/>
          <w:b/>
          <w:bCs/>
        </w:rPr>
      </w:pPr>
      <w:r>
        <w:rPr>
          <w:rFonts w:ascii="Titillium Web" w:eastAsia="Titillium Web" w:hAnsi="Titillium Web" w:cs="Titillium Web"/>
          <w:b/>
          <w:bCs/>
        </w:rPr>
        <w:t>Donne e lavoro: in Italia il divario cresce nel tempo e arriva al 28,7% nelle pensioni</w:t>
      </w:r>
      <w:r>
        <w:rPr>
          <w:rFonts w:ascii="Titillium Web" w:eastAsia="Titillium Web" w:hAnsi="Titillium Web" w:cs="Titillium Web"/>
          <w:b/>
          <w:bCs/>
        </w:rPr>
        <w:br/>
        <w:t>Nel Mezzogiorno oltre il 30% delle donne resta fuori dal lavoro e il carico familiare supera il 70%</w:t>
      </w:r>
    </w:p>
    <w:p w14:paraId="3E3FAAA6" w14:textId="1A7B7DEA"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rPr>
        <w:t xml:space="preserve">Presentati a Roma i risultati della 4°edizione del Rapporto Italia Generativa </w:t>
      </w:r>
      <w:r>
        <w:rPr>
          <w:rFonts w:ascii="Titillium Web" w:eastAsia="Titillium Web" w:hAnsi="Titillium Web" w:cs="Titillium Web"/>
          <w:b/>
          <w:bCs/>
          <w:highlight w:val="white"/>
        </w:rPr>
        <w:t xml:space="preserve">(consultabile nella sua versione integrale al link </w:t>
      </w:r>
      <w:r w:rsidR="00CF65E8">
        <w:fldChar w:fldCharType="begin"/>
      </w:r>
      <w:r w:rsidR="002D7EF6">
        <w:instrText xml:space="preserve">HYPERLINK "https://www.italiagenerativa.it/rig2025/" \h </w:instrText>
      </w:r>
      <w:r w:rsidR="00CF65E8">
        <w:fldChar w:fldCharType="separate"/>
      </w:r>
      <w:r w:rsidR="00CF65E8">
        <w:rPr>
          <w:rFonts w:ascii="Titillium Web" w:eastAsia="Titillium Web" w:hAnsi="Titillium Web" w:cs="Titillium Web"/>
          <w:b/>
          <w:bCs/>
          <w:color w:val="1155CC"/>
          <w:highlight w:val="white"/>
          <w:u w:val="single"/>
        </w:rPr>
        <w:t>https://www.italiagenerativa.it/rig2025/</w:t>
      </w:r>
      <w:r w:rsidR="00CF65E8">
        <w:fldChar w:fldCharType="end"/>
      </w:r>
      <w:r>
        <w:rPr>
          <w:rFonts w:ascii="Titillium Web" w:eastAsia="Titillium Web" w:hAnsi="Titillium Web" w:cs="Titillium Web"/>
          <w:b/>
          <w:bCs/>
          <w:highlight w:val="white"/>
        </w:rPr>
        <w:t xml:space="preserve">) </w:t>
      </w:r>
      <w:r>
        <w:rPr>
          <w:rFonts w:ascii="Titillium Web" w:eastAsia="Titillium Web" w:hAnsi="Titillium Web" w:cs="Titillium Web"/>
          <w:b/>
          <w:bCs/>
        </w:rPr>
        <w:t xml:space="preserve">curato dal Centre for the </w:t>
      </w:r>
      <w:proofErr w:type="spellStart"/>
      <w:r>
        <w:rPr>
          <w:rFonts w:ascii="Titillium Web" w:eastAsia="Titillium Web" w:hAnsi="Titillium Web" w:cs="Titillium Web"/>
          <w:b/>
          <w:bCs/>
        </w:rPr>
        <w:t>Anthropology</w:t>
      </w:r>
      <w:proofErr w:type="spellEnd"/>
      <w:r>
        <w:rPr>
          <w:rFonts w:ascii="Titillium Web" w:eastAsia="Titillium Web" w:hAnsi="Titillium Web" w:cs="Titillium Web"/>
          <w:b/>
          <w:bCs/>
        </w:rPr>
        <w:t xml:space="preserve"> of </w:t>
      </w:r>
      <w:proofErr w:type="spellStart"/>
      <w:r>
        <w:rPr>
          <w:rFonts w:ascii="Titillium Web" w:eastAsia="Titillium Web" w:hAnsi="Titillium Web" w:cs="Titillium Web"/>
          <w:b/>
          <w:bCs/>
        </w:rPr>
        <w:t>Religion</w:t>
      </w:r>
      <w:proofErr w:type="spellEnd"/>
      <w:r>
        <w:rPr>
          <w:rFonts w:ascii="Titillium Web" w:eastAsia="Titillium Web" w:hAnsi="Titillium Web" w:cs="Titillium Web"/>
          <w:b/>
          <w:bCs/>
        </w:rPr>
        <w:t xml:space="preserve"> and Generative Studies (ARC) dell’Università Cattolica del Sacro Cuore, promosso da Fondazione Poetica per la Generatività Sociale in collaborazione con Unioncamere </w:t>
      </w:r>
      <w:r>
        <w:rPr>
          <w:rFonts w:ascii="Titillium Web" w:eastAsia="Titillium Web" w:hAnsi="Titillium Web" w:cs="Titillium Web"/>
        </w:rPr>
        <w:t>sulla condizione femminile in Italia, che analizza disuguaglianze, maternità e carichi di cura lungo tutto l’arco della vita.</w:t>
      </w:r>
    </w:p>
    <w:p w14:paraId="2B827DDE"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rPr>
        <w:t>Lo studio evidenzia un sistema in cui i divari non solo persistono, ma si rafforzano progressivamente, incidendo su occupazione, redditi, natalità e sviluppo del Paese.</w:t>
      </w:r>
    </w:p>
    <w:p w14:paraId="48238623" w14:textId="77777777" w:rsidR="00CF65E8" w:rsidRDefault="00CF65E8">
      <w:pPr>
        <w:spacing w:before="240" w:after="240" w:line="276" w:lineRule="auto"/>
        <w:rPr>
          <w:rFonts w:ascii="Titillium Web" w:eastAsia="Titillium Web" w:hAnsi="Titillium Web" w:cs="Titillium Web"/>
        </w:rPr>
      </w:pPr>
    </w:p>
    <w:p w14:paraId="15DDDA6A" w14:textId="77777777" w:rsidR="00CF65E8" w:rsidRDefault="00000000">
      <w:pPr>
        <w:spacing w:before="240" w:after="240" w:line="276" w:lineRule="auto"/>
        <w:rPr>
          <w:rFonts w:ascii="Titillium Web" w:eastAsia="Titillium Web" w:hAnsi="Titillium Web" w:cs="Titillium Web"/>
          <w:sz w:val="20"/>
          <w:szCs w:val="20"/>
        </w:rPr>
      </w:pPr>
      <w:r>
        <w:rPr>
          <w:rFonts w:ascii="Titillium Web" w:eastAsia="Titillium Web" w:hAnsi="Titillium Web" w:cs="Titillium Web"/>
          <w:sz w:val="20"/>
          <w:szCs w:val="20"/>
        </w:rPr>
        <w:t>Roma, 12 maggio 2026</w:t>
      </w:r>
    </w:p>
    <w:p w14:paraId="7B10C4FC"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rPr>
        <w:t xml:space="preserve">In Italia le disuguaglianze di genere non sono un fenomeno statico, ma un processo che si costruisce e si amplifica nel tempo </w:t>
      </w:r>
      <w:proofErr w:type="gramStart"/>
      <w:r>
        <w:rPr>
          <w:rFonts w:ascii="Titillium Web" w:eastAsia="Titillium Web" w:hAnsi="Titillium Web" w:cs="Titillium Web"/>
        </w:rPr>
        <w:t>-  il</w:t>
      </w:r>
      <w:proofErr w:type="gramEnd"/>
      <w:r>
        <w:rPr>
          <w:rFonts w:ascii="Titillium Web" w:eastAsia="Titillium Web" w:hAnsi="Titillium Web" w:cs="Titillium Web"/>
        </w:rPr>
        <w:t xml:space="preserve"> prodotto di una combinazione di elementi culturali, istituzionali e organizzativi che si alimentano reciprocamente, generando un circolo vizioso difficile da spezzare con interventi settoriali. Se all’ingresso nel mercato del lavoro il divario può apparire contenuto, </w:t>
      </w:r>
      <w:r>
        <w:rPr>
          <w:rFonts w:ascii="Titillium Web" w:eastAsia="Titillium Web" w:hAnsi="Titillium Web" w:cs="Titillium Web"/>
        </w:rPr>
        <w:lastRenderedPageBreak/>
        <w:t xml:space="preserve">nel corso della vita professionale tende ad allargarsi progressivamente, fino a tradursi in un </w:t>
      </w:r>
      <w:proofErr w:type="gramStart"/>
      <w:r>
        <w:rPr>
          <w:rFonts w:ascii="Titillium Web" w:eastAsia="Titillium Web" w:hAnsi="Titillium Web" w:cs="Titillium Web"/>
        </w:rPr>
        <w:t>gap</w:t>
      </w:r>
      <w:proofErr w:type="gramEnd"/>
      <w:r>
        <w:rPr>
          <w:rFonts w:ascii="Titillium Web" w:eastAsia="Titillium Web" w:hAnsi="Titillium Web" w:cs="Titillium Web"/>
        </w:rPr>
        <w:t xml:space="preserve"> pensionistico del 28,7% a sfavore delle donne.</w:t>
      </w:r>
    </w:p>
    <w:p w14:paraId="4D61E564" w14:textId="77777777" w:rsidR="00CF65E8" w:rsidRDefault="00000000">
      <w:pPr>
        <w:spacing w:after="160" w:line="259" w:lineRule="auto"/>
        <w:jc w:val="both"/>
        <w:rPr>
          <w:rFonts w:ascii="Titillium Web" w:eastAsia="Titillium Web" w:hAnsi="Titillium Web" w:cs="Titillium Web"/>
        </w:rPr>
      </w:pPr>
      <w:r>
        <w:rPr>
          <w:rFonts w:ascii="Titillium Web" w:eastAsia="Titillium Web" w:hAnsi="Titillium Web" w:cs="Titillium Web"/>
        </w:rPr>
        <w:t xml:space="preserve">È quanto emerge dalla nuova edizione del </w:t>
      </w:r>
      <w:r>
        <w:rPr>
          <w:rFonts w:ascii="Titillium Web" w:eastAsia="Titillium Web" w:hAnsi="Titillium Web" w:cs="Titillium Web"/>
          <w:b/>
          <w:bCs/>
        </w:rPr>
        <w:t>Rapporto Italia Generativa</w:t>
      </w:r>
      <w:r>
        <w:rPr>
          <w:rFonts w:ascii="Titillium Web" w:eastAsia="Titillium Web" w:hAnsi="Titillium Web" w:cs="Titillium Web"/>
        </w:rPr>
        <w:t xml:space="preserve"> realizzata dal</w:t>
      </w:r>
      <w:r>
        <w:rPr>
          <w:rFonts w:ascii="Titillium Web" w:eastAsia="Titillium Web" w:hAnsi="Titillium Web" w:cs="Titillium Web"/>
          <w:b/>
          <w:bCs/>
        </w:rPr>
        <w:t xml:space="preserve"> Centre for the </w:t>
      </w:r>
      <w:proofErr w:type="spellStart"/>
      <w:r>
        <w:rPr>
          <w:rFonts w:ascii="Titillium Web" w:eastAsia="Titillium Web" w:hAnsi="Titillium Web" w:cs="Titillium Web"/>
          <w:b/>
          <w:bCs/>
        </w:rPr>
        <w:t>Anthropology</w:t>
      </w:r>
      <w:proofErr w:type="spellEnd"/>
      <w:r>
        <w:rPr>
          <w:rFonts w:ascii="Titillium Web" w:eastAsia="Titillium Web" w:hAnsi="Titillium Web" w:cs="Titillium Web"/>
          <w:b/>
          <w:bCs/>
        </w:rPr>
        <w:t xml:space="preserve"> of </w:t>
      </w:r>
      <w:proofErr w:type="spellStart"/>
      <w:r>
        <w:rPr>
          <w:rFonts w:ascii="Titillium Web" w:eastAsia="Titillium Web" w:hAnsi="Titillium Web" w:cs="Titillium Web"/>
          <w:b/>
          <w:bCs/>
        </w:rPr>
        <w:t>Religion</w:t>
      </w:r>
      <w:proofErr w:type="spellEnd"/>
      <w:r>
        <w:rPr>
          <w:rFonts w:ascii="Titillium Web" w:eastAsia="Titillium Web" w:hAnsi="Titillium Web" w:cs="Titillium Web"/>
          <w:b/>
          <w:bCs/>
        </w:rPr>
        <w:t xml:space="preserve"> and Generative Studies (ARC) dell’Università Cattolica del Sacro Cuore</w:t>
      </w:r>
      <w:r>
        <w:rPr>
          <w:rFonts w:ascii="Titillium Web" w:eastAsia="Titillium Web" w:hAnsi="Titillium Web" w:cs="Titillium Web"/>
        </w:rPr>
        <w:t xml:space="preserve"> promossa da Fondazione Poetica e supportata da Unioncamere, presentata oggi a Roma, dedicata ad indagare la condizione delle donne che lavorano e intraprendono in Italia.</w:t>
      </w:r>
      <w:r>
        <w:rPr>
          <w:rFonts w:ascii="Titillium Web" w:eastAsia="Titillium Web" w:hAnsi="Titillium Web" w:cs="Titillium Web"/>
        </w:rPr>
        <w:br/>
      </w:r>
      <w:r>
        <w:rPr>
          <w:rFonts w:ascii="Titillium Web" w:eastAsia="Titillium Web" w:hAnsi="Titillium Web" w:cs="Titillium Web"/>
        </w:rPr>
        <w:br/>
        <w:t xml:space="preserve">Il lavoro di ricerca è stato introdotto da </w:t>
      </w:r>
      <w:r>
        <w:rPr>
          <w:rFonts w:ascii="Titillium Web" w:eastAsia="Titillium Web" w:hAnsi="Titillium Web" w:cs="Titillium Web"/>
          <w:b/>
          <w:bCs/>
        </w:rPr>
        <w:t>Andrea Prete</w:t>
      </w:r>
      <w:r>
        <w:rPr>
          <w:rFonts w:ascii="Titillium Web" w:eastAsia="Titillium Web" w:hAnsi="Titillium Web" w:cs="Titillium Web"/>
        </w:rPr>
        <w:t xml:space="preserve">, Presidente di Unioncamere, presentato dai ricercatori del Centro di Ricerca ARC dell'Università Cattolica del Sacro Cuore di Milano </w:t>
      </w:r>
      <w:r>
        <w:rPr>
          <w:rFonts w:ascii="Titillium Web" w:eastAsia="Titillium Web" w:hAnsi="Titillium Web" w:cs="Titillium Web"/>
          <w:b/>
          <w:bCs/>
        </w:rPr>
        <w:t>Gianluca Truscello</w:t>
      </w:r>
      <w:r>
        <w:rPr>
          <w:rFonts w:ascii="Titillium Web" w:eastAsia="Titillium Web" w:hAnsi="Titillium Web" w:cs="Titillium Web"/>
        </w:rPr>
        <w:t xml:space="preserve"> e </w:t>
      </w:r>
      <w:r>
        <w:rPr>
          <w:rFonts w:ascii="Titillium Web" w:eastAsia="Titillium Web" w:hAnsi="Titillium Web" w:cs="Titillium Web"/>
          <w:b/>
          <w:bCs/>
        </w:rPr>
        <w:t xml:space="preserve">Patrizia Cappelletti </w:t>
      </w:r>
      <w:r>
        <w:rPr>
          <w:rFonts w:ascii="Titillium Web" w:eastAsia="Titillium Web" w:hAnsi="Titillium Web" w:cs="Titillium Web"/>
        </w:rPr>
        <w:t xml:space="preserve">e  approfondito da </w:t>
      </w:r>
      <w:r>
        <w:rPr>
          <w:rFonts w:ascii="Titillium Web" w:eastAsia="Titillium Web" w:hAnsi="Titillium Web" w:cs="Titillium Web"/>
          <w:b/>
          <w:bCs/>
        </w:rPr>
        <w:t>Mauro Magatti</w:t>
      </w:r>
      <w:r>
        <w:rPr>
          <w:rFonts w:ascii="Titillium Web" w:eastAsia="Titillium Web" w:hAnsi="Titillium Web" w:cs="Titillium Web"/>
        </w:rPr>
        <w:t>, economista e sociologo Presidente di Fondazione Poetica.</w:t>
      </w:r>
      <w:r>
        <w:rPr>
          <w:rFonts w:ascii="Titillium Web" w:eastAsia="Titillium Web" w:hAnsi="Titillium Web" w:cs="Titillium Web"/>
        </w:rPr>
        <w:br/>
      </w:r>
      <w:r>
        <w:rPr>
          <w:rFonts w:ascii="Titillium Web" w:eastAsia="Titillium Web" w:hAnsi="Titillium Web" w:cs="Titillium Web"/>
        </w:rPr>
        <w:br/>
        <w:t xml:space="preserve">A seguire, una tavola rotonda sui principali temi sollevati dal Rapporto, in cui sono  intervenute </w:t>
      </w:r>
      <w:r>
        <w:rPr>
          <w:rFonts w:ascii="Titillium Web" w:eastAsia="Titillium Web" w:hAnsi="Titillium Web" w:cs="Titillium Web"/>
          <w:b/>
          <w:bCs/>
        </w:rPr>
        <w:t>Loretta Credaro</w:t>
      </w:r>
      <w:r>
        <w:rPr>
          <w:rFonts w:ascii="Titillium Web" w:eastAsia="Titillium Web" w:hAnsi="Titillium Web" w:cs="Titillium Web"/>
        </w:rPr>
        <w:t xml:space="preserve"> (Presidente Camera di commercio di Sondrio e Presidente Isnart), </w:t>
      </w:r>
      <w:r>
        <w:rPr>
          <w:rFonts w:ascii="Titillium Web" w:eastAsia="Titillium Web" w:hAnsi="Titillium Web" w:cs="Titillium Web"/>
          <w:b/>
          <w:bCs/>
        </w:rPr>
        <w:t>Daniela Fumarola</w:t>
      </w:r>
      <w:r>
        <w:rPr>
          <w:rFonts w:ascii="Titillium Web" w:eastAsia="Titillium Web" w:hAnsi="Titillium Web" w:cs="Titillium Web"/>
        </w:rPr>
        <w:t xml:space="preserve"> (Segretaria Generale della CISL), </w:t>
      </w:r>
      <w:r>
        <w:rPr>
          <w:rFonts w:ascii="Titillium Web" w:eastAsia="Titillium Web" w:hAnsi="Titillium Web" w:cs="Titillium Web"/>
          <w:b/>
          <w:bCs/>
        </w:rPr>
        <w:t>Elena Goitini</w:t>
      </w:r>
      <w:r>
        <w:rPr>
          <w:rFonts w:ascii="Titillium Web" w:eastAsia="Titillium Web" w:hAnsi="Titillium Web" w:cs="Titillium Web"/>
        </w:rPr>
        <w:t xml:space="preserve"> (AD BNL BNP Paribas e Responsabile di BNP Paribas per l’Italia) e </w:t>
      </w:r>
      <w:r>
        <w:rPr>
          <w:rFonts w:ascii="Titillium Web" w:eastAsia="Titillium Web" w:hAnsi="Titillium Web" w:cs="Titillium Web"/>
          <w:b/>
          <w:bCs/>
        </w:rPr>
        <w:t xml:space="preserve">Stefania Proietti </w:t>
      </w:r>
      <w:r>
        <w:rPr>
          <w:rFonts w:ascii="Titillium Web" w:eastAsia="Titillium Web" w:hAnsi="Titillium Web" w:cs="Titillium Web"/>
        </w:rPr>
        <w:t>(Presidente della Regione Umbria) guidate dalla moderazione di</w:t>
      </w:r>
      <w:r>
        <w:rPr>
          <w:rFonts w:ascii="Titillium Web" w:eastAsia="Titillium Web" w:hAnsi="Titillium Web" w:cs="Titillium Web"/>
          <w:b/>
          <w:bCs/>
        </w:rPr>
        <w:t xml:space="preserve"> Antonella Baccaro </w:t>
      </w:r>
      <w:r>
        <w:rPr>
          <w:rFonts w:ascii="Titillium Web" w:eastAsia="Titillium Web" w:hAnsi="Titillium Web" w:cs="Titillium Web"/>
        </w:rPr>
        <w:t>(Caporedattrice Corriere della Sera).</w:t>
      </w:r>
      <w:r>
        <w:rPr>
          <w:rFonts w:ascii="Titillium Web" w:eastAsia="Titillium Web" w:hAnsi="Titillium Web" w:cs="Titillium Web"/>
        </w:rPr>
        <w:br/>
      </w:r>
      <w:r>
        <w:rPr>
          <w:rFonts w:ascii="Titillium Web" w:eastAsia="Titillium Web" w:hAnsi="Titillium Web" w:cs="Titillium Web"/>
        </w:rPr>
        <w:br/>
        <w:t xml:space="preserve">Le conclusioni sono state affidate alla </w:t>
      </w:r>
      <w:r>
        <w:rPr>
          <w:rFonts w:ascii="Arial" w:eastAsia="Arial" w:hAnsi="Arial" w:cs="Arial"/>
          <w:color w:val="222222"/>
          <w:sz w:val="22"/>
          <w:szCs w:val="22"/>
          <w:highlight w:val="white"/>
        </w:rPr>
        <w:t xml:space="preserve">Ministra per la famiglia, la natalità e le pari opportunità, </w:t>
      </w:r>
      <w:proofErr w:type="spellStart"/>
      <w:r>
        <w:rPr>
          <w:rFonts w:ascii="Arial" w:eastAsia="Arial" w:hAnsi="Arial" w:cs="Arial"/>
          <w:color w:val="222222"/>
          <w:sz w:val="22"/>
          <w:szCs w:val="22"/>
          <w:highlight w:val="white"/>
        </w:rPr>
        <w:t>On.le</w:t>
      </w:r>
      <w:proofErr w:type="spellEnd"/>
      <w:r>
        <w:rPr>
          <w:rFonts w:ascii="Arial" w:eastAsia="Arial" w:hAnsi="Arial" w:cs="Arial"/>
          <w:color w:val="222222"/>
          <w:sz w:val="22"/>
          <w:szCs w:val="22"/>
          <w:highlight w:val="white"/>
        </w:rPr>
        <w:t xml:space="preserve"> </w:t>
      </w:r>
      <w:r>
        <w:rPr>
          <w:rFonts w:ascii="Arial" w:eastAsia="Arial" w:hAnsi="Arial" w:cs="Arial"/>
          <w:b/>
          <w:bCs/>
          <w:color w:val="222222"/>
          <w:sz w:val="22"/>
          <w:szCs w:val="22"/>
          <w:highlight w:val="white"/>
        </w:rPr>
        <w:t xml:space="preserve">Eugenia Maria Roccella </w:t>
      </w:r>
      <w:r>
        <w:rPr>
          <w:rFonts w:ascii="Titillium Web" w:eastAsia="Titillium Web" w:hAnsi="Titillium Web" w:cs="Titillium Web"/>
        </w:rPr>
        <w:t>(Ministra per le pari opportunità e la famiglia),</w:t>
      </w:r>
    </w:p>
    <w:p w14:paraId="3FAA1242"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b/>
          <w:bCs/>
        </w:rPr>
        <w:t>Colonna invisibile</w:t>
      </w:r>
      <w:r>
        <w:rPr>
          <w:rFonts w:ascii="Titillium Web" w:eastAsia="Titillium Web" w:hAnsi="Titillium Web" w:cs="Titillium Web"/>
          <w:b/>
          <w:bCs/>
        </w:rPr>
        <w:br/>
      </w:r>
      <w:r>
        <w:rPr>
          <w:rFonts w:ascii="Titillium Web" w:eastAsia="Titillium Web" w:hAnsi="Titillium Web" w:cs="Titillium Web"/>
        </w:rPr>
        <w:t xml:space="preserve">Il titolo della nuova edizione esprime la duplice natura del problema indagato dal nuovo Rapporto. Oggi ancor più di ieri le donne rappresentano un pilastro fondamentale della società italiana (nel lavoro produttivo e imprenditoriale, nei servizi e nelle amministrazioni, nelle attività intellettuali e </w:t>
      </w:r>
      <w:proofErr w:type="gramStart"/>
      <w:r>
        <w:rPr>
          <w:rFonts w:ascii="Titillium Web" w:eastAsia="Titillium Web" w:hAnsi="Titillium Web" w:cs="Titillium Web"/>
        </w:rPr>
        <w:t>culturali, ..</w:t>
      </w:r>
      <w:proofErr w:type="gramEnd"/>
      <w:r>
        <w:rPr>
          <w:rFonts w:ascii="Titillium Web" w:eastAsia="Titillium Web" w:hAnsi="Titillium Web" w:cs="Titillium Web"/>
        </w:rPr>
        <w:t xml:space="preserve">) Eppure, l’apporto delle donne alla ricchezza e allo sviluppo del Paese continua a restare ancora largamente nascosto e disconosciuto, finendo per divenire impercettibile nelle strutture del potere, nei criteri di valutazione economica, nelle priorità dell’agenda pubblica. </w:t>
      </w:r>
      <w:r>
        <w:rPr>
          <w:rFonts w:ascii="Titillium Web" w:eastAsia="Titillium Web" w:hAnsi="Titillium Web" w:cs="Titillium Web"/>
        </w:rPr>
        <w:br/>
      </w:r>
      <w:r>
        <w:rPr>
          <w:rFonts w:ascii="Titillium Web" w:eastAsia="Titillium Web" w:hAnsi="Titillium Web" w:cs="Titillium Web"/>
          <w:b/>
          <w:bCs/>
        </w:rPr>
        <w:lastRenderedPageBreak/>
        <w:br/>
        <w:t>Disuguaglianze nelle disuguaglianze</w:t>
      </w:r>
      <w:r>
        <w:rPr>
          <w:rFonts w:ascii="Titillium Web" w:eastAsia="Titillium Web" w:hAnsi="Titillium Web" w:cs="Titillium Web"/>
          <w:b/>
          <w:bCs/>
        </w:rPr>
        <w:br/>
      </w:r>
      <w:r>
        <w:rPr>
          <w:rFonts w:ascii="Titillium Web" w:eastAsia="Titillium Web" w:hAnsi="Titillium Web" w:cs="Titillium Web"/>
        </w:rPr>
        <w:t>Le donne non vivono una condizione uniforme. Differenze di reddito, risorse e contesto producono traiettorie molto diverse.</w:t>
      </w:r>
      <w:r>
        <w:rPr>
          <w:rFonts w:ascii="Titillium Web" w:eastAsia="Titillium Web" w:hAnsi="Titillium Web" w:cs="Titillium Web"/>
        </w:rPr>
        <w:br/>
        <w:t>Le donne con maggiori risorse riescono a compensare le carenze del sistema attraverso soluzioni individuali; al contrario, quelle più fragili – spesso con lavori instabili o a bassa retribuzione – sono costrette a scelte limitanti fin dalla giovane età, con effetti duraturi su autonomia e carriera.</w:t>
      </w:r>
    </w:p>
    <w:p w14:paraId="7A8B3B26"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b/>
          <w:bCs/>
        </w:rPr>
        <w:t xml:space="preserve">Il divario territoriale tra Nord e Sud </w:t>
      </w:r>
      <w:r>
        <w:rPr>
          <w:rFonts w:ascii="Titillium Web" w:eastAsia="Titillium Web" w:hAnsi="Titillium Web" w:cs="Titillium Web"/>
        </w:rPr>
        <w:br/>
        <w:t>Nel Mezzogiorno il tasso di mancata partecipazione femminile al lavoro supera il 25% in diverse regioni, fino a raggiungere il 38,3% in Calabria e il 36,8% in Campania, mentre nel Nord scende sotto il 10% (3,8% nella Provincia autonoma di Bolzano, 6,6% a Trento, 7,8% in Veneto, 8,3% in Lombardia).</w:t>
      </w:r>
      <w:r>
        <w:rPr>
          <w:rFonts w:ascii="Titillium Web" w:eastAsia="Titillium Web" w:hAnsi="Titillium Web" w:cs="Titillium Web"/>
        </w:rPr>
        <w:br/>
        <w:t>Anche le retribuzioni seguono lo stesso andamento: si passa da 28.603 euro medi annui a Milano a poco più di 10.000 euro in alcune province del Sud, come Vibo Valentia (10.463 euro).</w:t>
      </w:r>
    </w:p>
    <w:p w14:paraId="4A692474"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rPr>
        <w:t>Il divario si riflette anche nella distribuzione del lavoro familiare: le donne svolgono il 61,6% del totale, ma la quota sale al 70,4% nel Sud e al 68,4% nelle Isole.</w:t>
      </w:r>
    </w:p>
    <w:p w14:paraId="3EA85586"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b/>
          <w:bCs/>
        </w:rPr>
        <w:t>Maternità e lavoro: uno snodo critico</w:t>
      </w:r>
      <w:r>
        <w:rPr>
          <w:rFonts w:ascii="Titillium Web" w:eastAsia="Titillium Web" w:hAnsi="Titillium Web" w:cs="Titillium Web"/>
          <w:b/>
          <w:bCs/>
        </w:rPr>
        <w:br/>
      </w:r>
      <w:r>
        <w:rPr>
          <w:rFonts w:ascii="Titillium Web" w:eastAsia="Titillium Web" w:hAnsi="Titillium Web" w:cs="Titillium Web"/>
        </w:rPr>
        <w:t>In un Paese segnato da un forte calo demografico (1,14 figli per donna nel 2025), la maternità continua a rappresentare un passaggio critico nelle biografie femminili.</w:t>
      </w:r>
      <w:r>
        <w:rPr>
          <w:rFonts w:ascii="Titillium Web" w:eastAsia="Titillium Web" w:hAnsi="Titillium Web" w:cs="Titillium Web"/>
        </w:rPr>
        <w:br/>
        <w:t>Più che un evento integrato nei percorsi professionali, si configura spesso come una discontinuità che comporta rallentamenti, ridimensionamenti o ridefinizioni delle traiettorie lavorative.</w:t>
      </w:r>
    </w:p>
    <w:p w14:paraId="5AE5D849"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b/>
          <w:bCs/>
        </w:rPr>
        <w:t>Il peso crescente della cura</w:t>
      </w:r>
      <w:r>
        <w:rPr>
          <w:rFonts w:ascii="Titillium Web" w:eastAsia="Titillium Web" w:hAnsi="Titillium Web" w:cs="Titillium Web"/>
          <w:b/>
          <w:bCs/>
        </w:rPr>
        <w:br/>
      </w:r>
      <w:r>
        <w:rPr>
          <w:rFonts w:ascii="Titillium Web" w:eastAsia="Titillium Web" w:hAnsi="Titillium Web" w:cs="Titillium Web"/>
        </w:rPr>
        <w:t>Accanto alla maternità, cresce il carico legato alla cura degli anziani. In Italia, il 58% delle attività di cura è rivolto a genitori o suoceri, contro l’8% destinato ai figli.</w:t>
      </w:r>
      <w:r>
        <w:rPr>
          <w:rFonts w:ascii="Titillium Web" w:eastAsia="Titillium Web" w:hAnsi="Titillium Web" w:cs="Titillium Web"/>
        </w:rPr>
        <w:br/>
      </w:r>
      <w:r>
        <w:rPr>
          <w:rFonts w:ascii="Titillium Web" w:eastAsia="Titillium Web" w:hAnsi="Titillium Web" w:cs="Titillium Web"/>
        </w:rPr>
        <w:lastRenderedPageBreak/>
        <w:t>Si configura così una “doppia morsa” che incide soprattutto sulle donne nella fase centrale della vita lavorativa, limitandone opportunità e progressione di carriera.</w:t>
      </w:r>
    </w:p>
    <w:p w14:paraId="3EA743DC"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b/>
          <w:bCs/>
        </w:rPr>
        <w:t>Uno svantaggio che si accumula</w:t>
      </w:r>
      <w:r>
        <w:rPr>
          <w:rFonts w:ascii="Titillium Web" w:eastAsia="Titillium Web" w:hAnsi="Titillium Web" w:cs="Titillium Web"/>
          <w:b/>
          <w:bCs/>
        </w:rPr>
        <w:br/>
      </w:r>
      <w:r>
        <w:rPr>
          <w:rFonts w:ascii="Titillium Web" w:eastAsia="Titillium Web" w:hAnsi="Titillium Web" w:cs="Titillium Web"/>
        </w:rPr>
        <w:t>Le disuguaglianze si rafforzano lungo tutto il ciclo di vita: minori salari, carriere più lente e discontinue, minore accesso a ruoli apicali e maggiore concentrazione in settori meno tutelati.</w:t>
      </w:r>
      <w:r>
        <w:rPr>
          <w:rFonts w:ascii="Titillium Web" w:eastAsia="Titillium Web" w:hAnsi="Titillium Web" w:cs="Titillium Web"/>
        </w:rPr>
        <w:br/>
        <w:t>Il risultato è uno svantaggio cumulativo che aumenta la vulnerabilità economica, soprattutto nelle fasi più fragili della vita.</w:t>
      </w:r>
    </w:p>
    <w:p w14:paraId="31E31282"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b/>
          <w:bCs/>
        </w:rPr>
        <w:t>Servizi insufficienti e carichi squilibrati</w:t>
      </w:r>
      <w:r>
        <w:rPr>
          <w:rFonts w:ascii="Titillium Web" w:eastAsia="Titillium Web" w:hAnsi="Titillium Web" w:cs="Titillium Web"/>
          <w:b/>
          <w:bCs/>
        </w:rPr>
        <w:br/>
      </w:r>
      <w:r>
        <w:rPr>
          <w:rFonts w:ascii="Titillium Web" w:eastAsia="Titillium Web" w:hAnsi="Titillium Web" w:cs="Titillium Web"/>
        </w:rPr>
        <w:t>Il sistema di welfare resta inadeguato.</w:t>
      </w:r>
      <w:r>
        <w:rPr>
          <w:rFonts w:ascii="Titillium Web" w:eastAsia="Titillium Web" w:hAnsi="Titillium Web" w:cs="Titillium Web"/>
        </w:rPr>
        <w:br/>
        <w:t>Nel 2024 i bambini iscritti all’asilo nido raggiungono il 39%, in linea con la media UE ma lontani da Paesi come Francia (circa 60%) e Spagna (55%).</w:t>
      </w:r>
      <w:r>
        <w:rPr>
          <w:rFonts w:ascii="Titillium Web" w:eastAsia="Titillium Web" w:hAnsi="Titillium Web" w:cs="Titillium Web"/>
        </w:rPr>
        <w:br/>
        <w:t>Persistono inoltre forti divari territoriali: si passa da quasi il 50% di copertura in Emilia-Romagna a circa il 23% in Calabria.</w:t>
      </w:r>
      <w:r>
        <w:rPr>
          <w:rFonts w:ascii="Titillium Web" w:eastAsia="Titillium Web" w:hAnsi="Titillium Web" w:cs="Titillium Web"/>
          <w:highlight w:val="yellow"/>
        </w:rPr>
        <w:br/>
      </w:r>
      <w:r>
        <w:rPr>
          <w:rFonts w:ascii="Titillium Web" w:eastAsia="Titillium Web" w:hAnsi="Titillium Web" w:cs="Titillium Web"/>
        </w:rPr>
        <w:t>La carenza di servizi e il limitato utilizzo dei congedi parentali da parte degli uomini contribuiscono a mantenere squilibrata la distribuzione dei carichi di cura.</w:t>
      </w:r>
    </w:p>
    <w:p w14:paraId="6F49D8EB"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b/>
          <w:bCs/>
        </w:rPr>
        <w:t>Le dinamiche familiari e le scelte invisibili</w:t>
      </w:r>
      <w:r>
        <w:rPr>
          <w:rFonts w:ascii="Titillium Web" w:eastAsia="Titillium Web" w:hAnsi="Titillium Web" w:cs="Titillium Web"/>
          <w:b/>
          <w:bCs/>
        </w:rPr>
        <w:br/>
      </w:r>
      <w:r>
        <w:rPr>
          <w:rFonts w:ascii="Titillium Web" w:eastAsia="Titillium Web" w:hAnsi="Titillium Web" w:cs="Titillium Web"/>
        </w:rPr>
        <w:t>Le disuguaglianze si costruiscono anche all’interno delle coppie.</w:t>
      </w:r>
      <w:r>
        <w:rPr>
          <w:rFonts w:ascii="Titillium Web" w:eastAsia="Titillium Web" w:hAnsi="Titillium Web" w:cs="Titillium Web"/>
        </w:rPr>
        <w:br/>
        <w:t>Decisioni quotidiane sulle traiettorie di carriera producono effetti cumulativi che alimentano il divario di genere.</w:t>
      </w:r>
    </w:p>
    <w:p w14:paraId="7F13AB73" w14:textId="77777777" w:rsidR="00CF65E8" w:rsidRDefault="00000000">
      <w:pPr>
        <w:spacing w:before="240" w:after="240" w:line="276" w:lineRule="auto"/>
        <w:jc w:val="center"/>
        <w:rPr>
          <w:rFonts w:ascii="Titillium Web" w:eastAsia="Titillium Web" w:hAnsi="Titillium Web" w:cs="Titillium Web"/>
          <w:b/>
          <w:bCs/>
        </w:rPr>
      </w:pPr>
      <w:r>
        <w:rPr>
          <w:rFonts w:ascii="Titillium Web" w:eastAsia="Titillium Web" w:hAnsi="Titillium Web" w:cs="Titillium Web"/>
          <w:b/>
          <w:bCs/>
          <w:u w:val="single"/>
        </w:rPr>
        <w:t>Le direttrici di intervento</w:t>
      </w:r>
    </w:p>
    <w:p w14:paraId="30A55330"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rPr>
        <w:t>Per affrontare in modo strutturale le disuguaglianze, la ricerca individua alcune priorità:</w:t>
      </w:r>
    </w:p>
    <w:p w14:paraId="51752E61" w14:textId="77777777" w:rsidR="00CF65E8" w:rsidRDefault="00000000">
      <w:pPr>
        <w:numPr>
          <w:ilvl w:val="0"/>
          <w:numId w:val="1"/>
        </w:numPr>
        <w:spacing w:before="240" w:line="276" w:lineRule="auto"/>
        <w:rPr>
          <w:rFonts w:ascii="Titillium Web" w:eastAsia="Titillium Web" w:hAnsi="Titillium Web" w:cs="Titillium Web"/>
        </w:rPr>
      </w:pPr>
      <w:r>
        <w:rPr>
          <w:rFonts w:ascii="Titillium Web" w:eastAsia="Titillium Web" w:hAnsi="Titillium Web" w:cs="Titillium Web"/>
        </w:rPr>
        <w:t>Rafforzare i servizi per l’infanzia e la non autosufficienza</w:t>
      </w:r>
    </w:p>
    <w:p w14:paraId="17812631" w14:textId="77777777" w:rsidR="00CF65E8" w:rsidRDefault="00000000">
      <w:pPr>
        <w:numPr>
          <w:ilvl w:val="0"/>
          <w:numId w:val="1"/>
        </w:numPr>
        <w:spacing w:line="276" w:lineRule="auto"/>
        <w:rPr>
          <w:rFonts w:ascii="Titillium Web" w:eastAsia="Titillium Web" w:hAnsi="Titillium Web" w:cs="Titillium Web"/>
        </w:rPr>
      </w:pPr>
      <w:r>
        <w:rPr>
          <w:rFonts w:ascii="Titillium Web" w:eastAsia="Titillium Web" w:hAnsi="Titillium Web" w:cs="Titillium Web"/>
        </w:rPr>
        <w:t>Ridurre i divari territoriali nell’accesso al lavoro e ai servizi</w:t>
      </w:r>
    </w:p>
    <w:p w14:paraId="50A2EF4E" w14:textId="77777777" w:rsidR="00CF65E8" w:rsidRDefault="00000000">
      <w:pPr>
        <w:numPr>
          <w:ilvl w:val="0"/>
          <w:numId w:val="1"/>
        </w:numPr>
        <w:spacing w:line="276" w:lineRule="auto"/>
        <w:rPr>
          <w:rFonts w:ascii="Titillium Web" w:eastAsia="Titillium Web" w:hAnsi="Titillium Web" w:cs="Titillium Web"/>
        </w:rPr>
      </w:pPr>
      <w:r>
        <w:rPr>
          <w:rFonts w:ascii="Titillium Web" w:eastAsia="Titillium Web" w:hAnsi="Titillium Web" w:cs="Titillium Web"/>
        </w:rPr>
        <w:t>Promuovere modelli organizzativi più flessibili e inclusivi</w:t>
      </w:r>
    </w:p>
    <w:p w14:paraId="15C36472" w14:textId="77777777" w:rsidR="00CF65E8" w:rsidRDefault="00000000">
      <w:pPr>
        <w:numPr>
          <w:ilvl w:val="0"/>
          <w:numId w:val="1"/>
        </w:numPr>
        <w:spacing w:line="276" w:lineRule="auto"/>
        <w:rPr>
          <w:rFonts w:ascii="Titillium Web" w:eastAsia="Titillium Web" w:hAnsi="Titillium Web" w:cs="Titillium Web"/>
        </w:rPr>
      </w:pPr>
      <w:r>
        <w:rPr>
          <w:rFonts w:ascii="Titillium Web" w:eastAsia="Titillium Web" w:hAnsi="Titillium Web" w:cs="Titillium Web"/>
        </w:rPr>
        <w:t>Incentivare la condivisione dei carichi di cura</w:t>
      </w:r>
    </w:p>
    <w:p w14:paraId="03F12C7B" w14:textId="77777777" w:rsidR="00CF65E8" w:rsidRDefault="00000000">
      <w:pPr>
        <w:numPr>
          <w:ilvl w:val="0"/>
          <w:numId w:val="1"/>
        </w:numPr>
        <w:spacing w:after="240" w:line="276" w:lineRule="auto"/>
        <w:rPr>
          <w:rFonts w:ascii="Titillium Web" w:eastAsia="Titillium Web" w:hAnsi="Titillium Web" w:cs="Titillium Web"/>
        </w:rPr>
      </w:pPr>
      <w:r>
        <w:rPr>
          <w:rFonts w:ascii="Titillium Web" w:eastAsia="Titillium Web" w:hAnsi="Titillium Web" w:cs="Titillium Web"/>
        </w:rPr>
        <w:t>Intervenire sui fattori culturali e sugli stereotipi di genere</w:t>
      </w:r>
    </w:p>
    <w:p w14:paraId="56440D99" w14:textId="77777777" w:rsidR="00CF65E8" w:rsidRDefault="00000000">
      <w:pPr>
        <w:spacing w:before="240" w:after="240" w:line="276" w:lineRule="auto"/>
        <w:rPr>
          <w:rFonts w:ascii="Titillium Web" w:eastAsia="Titillium Web" w:hAnsi="Titillium Web" w:cs="Titillium Web"/>
        </w:rPr>
      </w:pPr>
      <w:r>
        <w:rPr>
          <w:rFonts w:ascii="Titillium Web" w:eastAsia="Titillium Web" w:hAnsi="Titillium Web" w:cs="Titillium Web"/>
          <w:b/>
          <w:bCs/>
        </w:rPr>
        <w:lastRenderedPageBreak/>
        <w:t>Una leva strategica per lo sviluppo</w:t>
      </w:r>
      <w:r>
        <w:rPr>
          <w:rFonts w:ascii="Titillium Web" w:eastAsia="Titillium Web" w:hAnsi="Titillium Web" w:cs="Titillium Web"/>
          <w:b/>
          <w:bCs/>
        </w:rPr>
        <w:br/>
      </w:r>
      <w:r>
        <w:rPr>
          <w:rFonts w:ascii="Titillium Web" w:eastAsia="Titillium Web" w:hAnsi="Titillium Web" w:cs="Titillium Web"/>
        </w:rPr>
        <w:t>Migliorare la condizione femminile non è solo una questione di equità, ma una leva strategica per il futuro del Paese.</w:t>
      </w:r>
      <w:r>
        <w:rPr>
          <w:rFonts w:ascii="Titillium Web" w:eastAsia="Titillium Web" w:hAnsi="Titillium Web" w:cs="Titillium Web"/>
        </w:rPr>
        <w:br/>
        <w:t>Aumentare la partecipazione delle donne al lavoro, sostenere la natalità e riequilibrare i carichi di cura significa intervenire su uno dei principali vincoli alla crescita economica e sociale dell’Italia.</w:t>
      </w:r>
    </w:p>
    <w:p w14:paraId="086332F2" w14:textId="77777777" w:rsidR="009027DC" w:rsidRDefault="009027DC">
      <w:pPr>
        <w:spacing w:after="160" w:line="259" w:lineRule="auto"/>
        <w:jc w:val="both"/>
        <w:rPr>
          <w:rFonts w:ascii="Georgia" w:eastAsia="Georgia" w:hAnsi="Georgia" w:cs="Georgia"/>
          <w:i/>
          <w:iCs/>
          <w:color w:val="222222"/>
          <w:highlight w:val="white"/>
        </w:rPr>
      </w:pPr>
    </w:p>
    <w:p w14:paraId="621C36D3" w14:textId="153DE467" w:rsidR="009027DC" w:rsidRDefault="009027DC">
      <w:pPr>
        <w:spacing w:after="160" w:line="259" w:lineRule="auto"/>
        <w:jc w:val="both"/>
        <w:rPr>
          <w:rFonts w:ascii="Georgia" w:eastAsia="Georgia" w:hAnsi="Georgia" w:cs="Georgia"/>
          <w:i/>
          <w:iCs/>
          <w:color w:val="222222"/>
          <w:highlight w:val="white"/>
        </w:rPr>
      </w:pPr>
      <w:r w:rsidRPr="009027DC">
        <w:rPr>
          <w:rFonts w:ascii="Georgia" w:eastAsia="Georgia" w:hAnsi="Georgia" w:cs="Georgia"/>
          <w:i/>
          <w:iCs/>
          <w:color w:val="222222"/>
          <w:highlight w:val="white"/>
        </w:rPr>
        <w:t>"Occupazione femminile, conciliazione vita-lavoro, pari opportunità, sono un pilastro delle politiche del nostro governo e sono state una priorità fin dal primo giorno", ha detto la Ministra per le Pari Opportunità e la famiglia,</w:t>
      </w:r>
      <w:r w:rsidRPr="009027DC">
        <w:rPr>
          <w:rFonts w:ascii="Georgia" w:eastAsia="Georgia" w:hAnsi="Georgia" w:cs="Georgia"/>
          <w:b/>
          <w:bCs/>
          <w:i/>
          <w:iCs/>
          <w:color w:val="222222"/>
          <w:highlight w:val="white"/>
        </w:rPr>
        <w:t> Eugenia</w:t>
      </w:r>
      <w:r>
        <w:rPr>
          <w:rFonts w:ascii="Georgia" w:eastAsia="Georgia" w:hAnsi="Georgia" w:cs="Georgia"/>
          <w:b/>
          <w:bCs/>
          <w:i/>
          <w:iCs/>
          <w:color w:val="222222"/>
          <w:highlight w:val="white"/>
        </w:rPr>
        <w:t xml:space="preserve"> M</w:t>
      </w:r>
      <w:r w:rsidRPr="009027DC">
        <w:rPr>
          <w:rFonts w:ascii="Georgia" w:eastAsia="Georgia" w:hAnsi="Georgia" w:cs="Georgia"/>
          <w:b/>
          <w:bCs/>
          <w:i/>
          <w:iCs/>
          <w:color w:val="222222"/>
          <w:highlight w:val="white"/>
        </w:rPr>
        <w:t>aria Roccella</w:t>
      </w:r>
      <w:r w:rsidRPr="009027DC">
        <w:rPr>
          <w:rFonts w:ascii="Georgia" w:eastAsia="Georgia" w:hAnsi="Georgia" w:cs="Georgia"/>
          <w:i/>
          <w:iCs/>
          <w:color w:val="222222"/>
          <w:highlight w:val="white"/>
        </w:rPr>
        <w:t>.</w:t>
      </w:r>
      <w:r>
        <w:rPr>
          <w:rFonts w:ascii="Georgia" w:eastAsia="Georgia" w:hAnsi="Georgia" w:cs="Georgia"/>
          <w:i/>
          <w:iCs/>
          <w:color w:val="222222"/>
          <w:highlight w:val="white"/>
        </w:rPr>
        <w:t xml:space="preserve"> </w:t>
      </w:r>
      <w:r w:rsidRPr="009027DC">
        <w:rPr>
          <w:rFonts w:ascii="Georgia" w:eastAsia="Georgia" w:hAnsi="Georgia" w:cs="Georgia"/>
          <w:i/>
          <w:iCs/>
          <w:color w:val="222222"/>
          <w:highlight w:val="white"/>
        </w:rPr>
        <w:t>"Aver infranto per la prima volta in Italia il tetto di cristallo dei dieci milioni di donne occupate per noi è importante quanto avere il primo governo presieduto una donna. Sappiamo che c’è ancora tanto da fare, ma evidentemente la strada è quella giusta, e passa dalla creazione di ambienti di lavoro accoglienti per le donne, per la genitorialità e in particolare per la maternità, tenendo conto che una più equa distruzione dei carichi di cura tra madri e padri è da incentivare ma che la maternità impatta, per ovvie ragioni, soprattutto sulla mamma e sul suo lavoro. La conciliazione è un investimento di giustizia, di sviluppo e di libertà. Per questo abbiamo aumentato i congedi parentali e il congedo per la malattia dei figli, stabilizzato i fondi per i centri estivi, aperto le scuole d’estate, sostenuto il lavoro delle madri, promosso la certificazione della parità di genere per le imprese, aumentato i fringe benefit esentasse per i lavoratori con figli, e proprio in questi giorni è diventato operativo un nuovo strumento gestionale per le aziende basato sulla conciliazione, una prassi Uni che insieme a Unioncamere promuoveremo nel mondo dell’impresa e che grazie al decreto lavoro del governo potrà essere collegata a sgravi contributivi per le aziende che sceglieranno di certificarsi. Tutto questo risponde a una visione ben precisa, perché le donne non sono una minoranza da proteggere ma la metà dell’umanità, e una donna libera di potersi realizzare, se lo desidera, sia nel lavoro che nella maternità, è un investimento per il bene comune".</w:t>
      </w:r>
    </w:p>
    <w:p w14:paraId="3B6EE22F" w14:textId="77777777" w:rsidR="009027DC" w:rsidRDefault="009027DC">
      <w:pPr>
        <w:spacing w:after="160" w:line="259" w:lineRule="auto"/>
        <w:jc w:val="both"/>
        <w:rPr>
          <w:rFonts w:ascii="Georgia" w:eastAsia="Georgia" w:hAnsi="Georgia" w:cs="Georgia"/>
          <w:i/>
          <w:iCs/>
          <w:color w:val="222222"/>
          <w:highlight w:val="white"/>
        </w:rPr>
      </w:pPr>
    </w:p>
    <w:p w14:paraId="0BCA9927" w14:textId="6F701F55" w:rsidR="00CF65E8" w:rsidRDefault="00000000">
      <w:pPr>
        <w:spacing w:after="160" w:line="259" w:lineRule="auto"/>
        <w:jc w:val="both"/>
        <w:rPr>
          <w:rFonts w:ascii="Titillium Web" w:eastAsia="Titillium Web" w:hAnsi="Titillium Web" w:cs="Titillium Web"/>
          <w:i/>
          <w:iCs/>
        </w:rPr>
      </w:pPr>
      <w:r>
        <w:rPr>
          <w:rFonts w:ascii="Georgia" w:eastAsia="Georgia" w:hAnsi="Georgia" w:cs="Georgia"/>
          <w:i/>
          <w:iCs/>
          <w:color w:val="222222"/>
          <w:highlight w:val="white"/>
        </w:rPr>
        <w:t xml:space="preserve">“La necessità di un riequilibrio – culturale, sociale, economico – tra generi è inderogabile” - </w:t>
      </w:r>
      <w:r>
        <w:rPr>
          <w:rFonts w:ascii="Georgia" w:eastAsia="Georgia" w:hAnsi="Georgia" w:cs="Georgia"/>
          <w:color w:val="222222"/>
          <w:highlight w:val="white"/>
        </w:rPr>
        <w:t xml:space="preserve">commenta </w:t>
      </w:r>
      <w:r>
        <w:rPr>
          <w:rFonts w:ascii="Georgia" w:eastAsia="Georgia" w:hAnsi="Georgia" w:cs="Georgia"/>
          <w:b/>
          <w:bCs/>
          <w:color w:val="222222"/>
          <w:highlight w:val="white"/>
        </w:rPr>
        <w:t>Andrea Prete</w:t>
      </w:r>
      <w:r>
        <w:rPr>
          <w:rFonts w:ascii="Georgia" w:eastAsia="Georgia" w:hAnsi="Georgia" w:cs="Georgia"/>
          <w:color w:val="222222"/>
          <w:highlight w:val="white"/>
        </w:rPr>
        <w:t>; Presidente di Unioncamere - “</w:t>
      </w:r>
      <w:r>
        <w:rPr>
          <w:rFonts w:ascii="Georgia" w:eastAsia="Georgia" w:hAnsi="Georgia" w:cs="Georgia"/>
          <w:i/>
          <w:iCs/>
          <w:color w:val="222222"/>
          <w:highlight w:val="white"/>
        </w:rPr>
        <w:t xml:space="preserve">Guardando solo all’aspetto economico, l’Italia non sta valorizzando a sufficienza una risorsa preziosa, quella femminile, sottostimandone le potenzialità. Favorire l’ingresso e la permanenza al lavoro delle donne, supportandole anche nell’avvio di una attività in proprio è la strada maestra per assicurare sviluppo al nostro Paese. Attraverso la rete dei Comitati per </w:t>
      </w:r>
      <w:r>
        <w:rPr>
          <w:rFonts w:ascii="Georgia" w:eastAsia="Georgia" w:hAnsi="Georgia" w:cs="Georgia"/>
          <w:i/>
          <w:iCs/>
          <w:color w:val="222222"/>
          <w:highlight w:val="white"/>
        </w:rPr>
        <w:lastRenderedPageBreak/>
        <w:t>l’imprenditorialità femminile, da quasi trent’anni Unioncamere e le Camere di commercio promuovono iniziative a sostegno della nascita e diffusione delle aziende guidate da donne. Un impegno che è proseguito anche con il PNRR, sia per far crescere l’universo femminile che fa impresa (che conta oltre 1,3 milioni di realtà), sia per la certificazione della parità di genere da parte delle imprese”.</w:t>
      </w:r>
    </w:p>
    <w:p w14:paraId="7662163A" w14:textId="77777777" w:rsidR="00CF65E8" w:rsidRDefault="00CF65E8">
      <w:pPr>
        <w:spacing w:after="160" w:line="259" w:lineRule="auto"/>
        <w:jc w:val="both"/>
        <w:rPr>
          <w:rFonts w:ascii="Titillium Web" w:eastAsia="Titillium Web" w:hAnsi="Titillium Web" w:cs="Titillium Web"/>
          <w:i/>
          <w:iCs/>
        </w:rPr>
      </w:pPr>
    </w:p>
    <w:p w14:paraId="2BFB9D97" w14:textId="77777777" w:rsidR="00CF65E8" w:rsidRDefault="00000000">
      <w:pPr>
        <w:spacing w:after="160" w:line="259" w:lineRule="auto"/>
        <w:jc w:val="both"/>
        <w:rPr>
          <w:rFonts w:ascii="Titillium Web" w:eastAsia="Titillium Web" w:hAnsi="Titillium Web" w:cs="Titillium Web"/>
          <w:i/>
          <w:iCs/>
        </w:rPr>
      </w:pPr>
      <w:r>
        <w:rPr>
          <w:rFonts w:ascii="Titillium Web" w:eastAsia="Titillium Web" w:hAnsi="Titillium Web" w:cs="Titillium Web"/>
          <w:i/>
          <w:iCs/>
        </w:rPr>
        <w:t>“</w:t>
      </w:r>
      <w:r>
        <w:rPr>
          <w:rFonts w:ascii="Aptos" w:eastAsia="Aptos" w:hAnsi="Aptos" w:cs="Aptos"/>
          <w:i/>
          <w:iCs/>
        </w:rPr>
        <w:t>Il Rapporto Italia Generativa si colloca all’interno di un percorso di ricerca ormai consolidato che assume la generatività sociale come chiave interpretativa della realtà economica e sociale</w:t>
      </w:r>
      <w:r>
        <w:rPr>
          <w:rFonts w:ascii="Titillium Web" w:eastAsia="Titillium Web" w:hAnsi="Titillium Web" w:cs="Titillium Web"/>
          <w:i/>
          <w:iCs/>
        </w:rPr>
        <w:t xml:space="preserve">, per uno sviluppo che non sia riducibile alla sola crescita quantitativa </w:t>
      </w:r>
      <w:r>
        <w:rPr>
          <w:rFonts w:ascii="Aptos" w:eastAsia="Aptos" w:hAnsi="Aptos" w:cs="Aptos"/>
          <w:i/>
          <w:iCs/>
        </w:rPr>
        <w:t>ma si misura nella capacità di persone, organizzazioni e istituzioni di generare valore condiviso, sostenibile e trasmissibile nel tempo</w:t>
      </w:r>
      <w:r>
        <w:rPr>
          <w:rFonts w:ascii="Aptos" w:eastAsia="Aptos" w:hAnsi="Aptos" w:cs="Aptos"/>
        </w:rPr>
        <w:t>”</w:t>
      </w:r>
      <w:r>
        <w:rPr>
          <w:rFonts w:ascii="Titillium Web" w:eastAsia="Titillium Web" w:hAnsi="Titillium Web" w:cs="Titillium Web"/>
        </w:rPr>
        <w:t xml:space="preserve"> – commenta il Prof. </w:t>
      </w:r>
      <w:r>
        <w:rPr>
          <w:rFonts w:ascii="Titillium Web" w:eastAsia="Titillium Web" w:hAnsi="Titillium Web" w:cs="Titillium Web"/>
          <w:b/>
          <w:bCs/>
        </w:rPr>
        <w:t>Mauro Magatti</w:t>
      </w:r>
      <w:r>
        <w:rPr>
          <w:rFonts w:ascii="Titillium Web" w:eastAsia="Titillium Web" w:hAnsi="Titillium Web" w:cs="Titillium Web"/>
        </w:rPr>
        <w:t xml:space="preserve"> professore dell’Università Cattolica e presidente della Fondazione Poetica per la Generatività Sociale. </w:t>
      </w:r>
      <w:r>
        <w:rPr>
          <w:rFonts w:ascii="Titillium Web" w:eastAsia="Titillium Web" w:hAnsi="Titillium Web" w:cs="Titillium Web"/>
          <w:i/>
          <w:iCs/>
        </w:rPr>
        <w:br/>
        <w:t xml:space="preserve">“Parlare della condizione femminile significa interrogarsi profondamente su quale modello di sviluppo desideriamo per noi, per il nostro Paese, per il suo futuro” </w:t>
      </w:r>
      <w:r>
        <w:rPr>
          <w:rFonts w:ascii="Titillium Web" w:eastAsia="Titillium Web" w:hAnsi="Titillium Web" w:cs="Titillium Web"/>
        </w:rPr>
        <w:t xml:space="preserve">continua </w:t>
      </w:r>
      <w:r>
        <w:rPr>
          <w:rFonts w:ascii="Titillium Web" w:eastAsia="Titillium Web" w:hAnsi="Titillium Web" w:cs="Titillium Web"/>
          <w:b/>
          <w:bCs/>
        </w:rPr>
        <w:t>Magatti</w:t>
      </w:r>
      <w:r>
        <w:rPr>
          <w:rFonts w:ascii="Titillium Web" w:eastAsia="Titillium Web" w:hAnsi="Titillium Web" w:cs="Titillium Web"/>
          <w:b/>
          <w:bCs/>
          <w:i/>
          <w:iCs/>
        </w:rPr>
        <w:t xml:space="preserve"> </w:t>
      </w:r>
      <w:proofErr w:type="gramStart"/>
      <w:r>
        <w:rPr>
          <w:rFonts w:ascii="Titillium Web" w:eastAsia="Titillium Web" w:hAnsi="Titillium Web" w:cs="Titillium Web"/>
          <w:i/>
          <w:iCs/>
        </w:rPr>
        <w:t>“ Il</w:t>
      </w:r>
      <w:proofErr w:type="gramEnd"/>
      <w:r>
        <w:rPr>
          <w:rFonts w:ascii="Titillium Web" w:eastAsia="Titillium Web" w:hAnsi="Titillium Web" w:cs="Titillium Web"/>
          <w:i/>
          <w:iCs/>
        </w:rPr>
        <w:t xml:space="preserve"> Rapporto propone un cambio di prospettiva: non si tratta di adattare le donne al sistema, ma cogliere questa occasione per trasformare il sistema, passando da un modello estrattivo centrato sulla produzione, a uno generativo, capace cioè di immaginare nuovi rapporti di senso tra lavoro, vita e cura.  È una grande sfida, ma è la via per andare oltre opposizioni polari poco feconde (maschile femminile, vita e lavoro) e aprire creativamente e responsabilmente nuovi spazi di innovazione e sperimentazione”. </w:t>
      </w:r>
    </w:p>
    <w:p w14:paraId="6ED980B2" w14:textId="77777777" w:rsidR="00CF65E8" w:rsidRDefault="00000000">
      <w:pPr>
        <w:spacing w:after="160" w:line="259" w:lineRule="auto"/>
        <w:jc w:val="both"/>
        <w:rPr>
          <w:rFonts w:ascii="Titillium Web" w:eastAsia="Titillium Web" w:hAnsi="Titillium Web" w:cs="Titillium Web"/>
        </w:rPr>
      </w:pPr>
      <w:r>
        <w:rPr>
          <w:rFonts w:ascii="Titillium Web" w:eastAsia="Titillium Web" w:hAnsi="Titillium Web" w:cs="Titillium Web"/>
          <w:i/>
          <w:iCs/>
          <w:highlight w:val="yellow"/>
        </w:rPr>
        <w:br/>
      </w:r>
    </w:p>
    <w:p w14:paraId="292B1A83" w14:textId="77777777" w:rsidR="00CF65E8" w:rsidRDefault="00000000">
      <w:pPr>
        <w:spacing w:line="276" w:lineRule="auto"/>
        <w:ind w:left="-850" w:right="-567"/>
        <w:rPr>
          <w:rFonts w:ascii="Titillium Web" w:eastAsia="Titillium Web" w:hAnsi="Titillium Web" w:cs="Titillium Web"/>
          <w:sz w:val="22"/>
          <w:szCs w:val="22"/>
        </w:rPr>
      </w:pPr>
      <w:r>
        <w:rPr>
          <w:rFonts w:ascii="Titillium Web" w:eastAsia="Titillium Web" w:hAnsi="Titillium Web" w:cs="Titillium Web"/>
          <w:b/>
          <w:bCs/>
          <w:u w:val="single"/>
        </w:rPr>
        <w:t>Contatti per la stampa</w:t>
      </w:r>
      <w:r>
        <w:rPr>
          <w:rFonts w:ascii="Titillium Web" w:eastAsia="Titillium Web" w:hAnsi="Titillium Web" w:cs="Titillium Web"/>
        </w:rPr>
        <w:br/>
      </w:r>
      <w:r>
        <w:rPr>
          <w:rFonts w:ascii="Titillium Web" w:eastAsia="Titillium Web" w:hAnsi="Titillium Web" w:cs="Titillium Web"/>
        </w:rPr>
        <w:br/>
      </w:r>
      <w:r>
        <w:rPr>
          <w:rFonts w:ascii="Titillium Web" w:eastAsia="Titillium Web" w:hAnsi="Titillium Web" w:cs="Titillium Web"/>
          <w:b/>
          <w:bCs/>
          <w:sz w:val="22"/>
          <w:szCs w:val="22"/>
        </w:rPr>
        <w:t>Università Cattolica</w:t>
      </w:r>
      <w:r>
        <w:rPr>
          <w:rFonts w:ascii="Titillium Web" w:eastAsia="Titillium Web" w:hAnsi="Titillium Web" w:cs="Titillium Web"/>
          <w:sz w:val="22"/>
          <w:szCs w:val="22"/>
        </w:rPr>
        <w:br/>
      </w:r>
      <w:r>
        <w:rPr>
          <w:color w:val="222222"/>
          <w:sz w:val="22"/>
          <w:szCs w:val="22"/>
          <w:highlight w:val="white"/>
        </w:rPr>
        <w:t>Nicola Cerbino</w:t>
      </w:r>
      <w:r>
        <w:rPr>
          <w:rFonts w:ascii="Titillium Web" w:eastAsia="Titillium Web" w:hAnsi="Titillium Web" w:cs="Titillium Web"/>
          <w:sz w:val="22"/>
          <w:szCs w:val="22"/>
        </w:rPr>
        <w:br/>
      </w:r>
      <w:r>
        <w:rPr>
          <w:rFonts w:ascii="Titillium Web" w:eastAsia="Titillium Web" w:hAnsi="Titillium Web" w:cs="Titillium Web"/>
          <w:color w:val="1F1F1F"/>
          <w:sz w:val="22"/>
          <w:szCs w:val="22"/>
        </w:rPr>
        <w:t xml:space="preserve">Federica Mancinelli </w:t>
      </w:r>
      <w:r>
        <w:rPr>
          <w:rFonts w:ascii="Titillium Web" w:eastAsia="Titillium Web" w:hAnsi="Titillium Web" w:cs="Titillium Web"/>
          <w:b/>
          <w:bCs/>
          <w:color w:val="1F1F1F"/>
          <w:sz w:val="22"/>
          <w:szCs w:val="22"/>
        </w:rPr>
        <w:br/>
      </w:r>
      <w:r>
        <w:rPr>
          <w:rFonts w:ascii="Titillium Web" w:eastAsia="Titillium Web" w:hAnsi="Titillium Web" w:cs="Titillium Web"/>
          <w:color w:val="5E5E5E"/>
          <w:sz w:val="22"/>
          <w:szCs w:val="22"/>
        </w:rPr>
        <w:t>Federica.Mancinelli@unicatt.it</w:t>
      </w:r>
      <w:r>
        <w:rPr>
          <w:rFonts w:ascii="Titillium Web" w:eastAsia="Titillium Web" w:hAnsi="Titillium Web" w:cs="Titillium Web"/>
          <w:sz w:val="22"/>
          <w:szCs w:val="22"/>
        </w:rPr>
        <w:br/>
      </w:r>
      <w:r>
        <w:rPr>
          <w:rFonts w:ascii="Titillium Web" w:eastAsia="Titillium Web" w:hAnsi="Titillium Web" w:cs="Titillium Web"/>
          <w:sz w:val="22"/>
          <w:szCs w:val="22"/>
        </w:rPr>
        <w:br/>
      </w:r>
      <w:r>
        <w:rPr>
          <w:rFonts w:ascii="Titillium Web" w:eastAsia="Titillium Web" w:hAnsi="Titillium Web" w:cs="Titillium Web"/>
          <w:b/>
          <w:bCs/>
          <w:sz w:val="22"/>
          <w:szCs w:val="22"/>
        </w:rPr>
        <w:t>Fondazione Poetica</w:t>
      </w:r>
      <w:r>
        <w:rPr>
          <w:rFonts w:ascii="Titillium Web" w:eastAsia="Titillium Web" w:hAnsi="Titillium Web" w:cs="Titillium Web"/>
          <w:sz w:val="22"/>
          <w:szCs w:val="22"/>
        </w:rPr>
        <w:br/>
      </w:r>
      <w:r>
        <w:rPr>
          <w:rFonts w:ascii="Titillium Web" w:eastAsia="Titillium Web" w:hAnsi="Titillium Web" w:cs="Titillium Web"/>
          <w:sz w:val="22"/>
          <w:szCs w:val="22"/>
        </w:rPr>
        <w:lastRenderedPageBreak/>
        <w:t>Cinzia Campogiani</w:t>
      </w:r>
      <w:r>
        <w:rPr>
          <w:rFonts w:ascii="Titillium Web" w:eastAsia="Titillium Web" w:hAnsi="Titillium Web" w:cs="Titillium Web"/>
          <w:sz w:val="22"/>
          <w:szCs w:val="22"/>
        </w:rPr>
        <w:br/>
        <w:t>cinzia.campogiani@fondazionepoetica.it</w:t>
      </w:r>
    </w:p>
    <w:p w14:paraId="75A4D227" w14:textId="77777777" w:rsidR="00CF65E8" w:rsidRDefault="00000000">
      <w:pPr>
        <w:spacing w:line="276" w:lineRule="auto"/>
        <w:ind w:left="-850" w:right="-567"/>
        <w:rPr>
          <w:rFonts w:ascii="Titillium Web" w:eastAsia="Titillium Web" w:hAnsi="Titillium Web" w:cs="Titillium Web"/>
          <w:sz w:val="22"/>
          <w:szCs w:val="22"/>
        </w:rPr>
      </w:pPr>
      <w:r>
        <w:rPr>
          <w:rFonts w:ascii="Titillium Web" w:eastAsia="Titillium Web" w:hAnsi="Titillium Web" w:cs="Titillium Web"/>
          <w:sz w:val="22"/>
          <w:szCs w:val="22"/>
        </w:rPr>
        <w:br/>
      </w:r>
      <w:r>
        <w:rPr>
          <w:rFonts w:ascii="Titillium Web" w:eastAsia="Titillium Web" w:hAnsi="Titillium Web" w:cs="Titillium Web"/>
          <w:b/>
          <w:bCs/>
          <w:sz w:val="22"/>
          <w:szCs w:val="22"/>
        </w:rPr>
        <w:t>Unioncamere</w:t>
      </w:r>
      <w:r>
        <w:rPr>
          <w:rFonts w:ascii="Titillium Web" w:eastAsia="Titillium Web" w:hAnsi="Titillium Web" w:cs="Titillium Web"/>
          <w:sz w:val="22"/>
          <w:szCs w:val="22"/>
        </w:rPr>
        <w:br/>
        <w:t>Alessandra Aitina</w:t>
      </w:r>
      <w:r>
        <w:rPr>
          <w:rFonts w:ascii="Titillium Web" w:eastAsia="Titillium Web" w:hAnsi="Titillium Web" w:cs="Titillium Web"/>
          <w:sz w:val="22"/>
          <w:szCs w:val="22"/>
        </w:rPr>
        <w:br/>
        <w:t>alessandra.altina@unioncamere.it</w:t>
      </w:r>
    </w:p>
    <w:p w14:paraId="4F1F15B5" w14:textId="77777777" w:rsidR="00CF65E8" w:rsidRDefault="00000000">
      <w:pPr>
        <w:widowControl w:val="0"/>
        <w:ind w:left="-850" w:right="-567"/>
        <w:rPr>
          <w:rFonts w:ascii="Titillium Web" w:eastAsia="Titillium Web" w:hAnsi="Titillium Web" w:cs="Titillium Web"/>
        </w:rPr>
      </w:pPr>
      <w:r>
        <w:rPr>
          <w:noProof/>
        </w:rPr>
        <w:drawing>
          <wp:anchor distT="114300" distB="114300" distL="114300" distR="114300" simplePos="0" relativeHeight="251658240" behindDoc="1" locked="0" layoutInCell="1" hidden="0" allowOverlap="1" wp14:anchorId="2C1C011F" wp14:editId="4963CA0B">
            <wp:simplePos x="0" y="0"/>
            <wp:positionH relativeFrom="column">
              <wp:posOffset>1009650</wp:posOffset>
            </wp:positionH>
            <wp:positionV relativeFrom="paragraph">
              <wp:posOffset>276225</wp:posOffset>
            </wp:positionV>
            <wp:extent cx="4470400" cy="73342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5621"/>
                    <a:stretch>
                      <a:fillRect/>
                    </a:stretch>
                  </pic:blipFill>
                  <pic:spPr>
                    <a:xfrm>
                      <a:off x="0" y="0"/>
                      <a:ext cx="4470400" cy="733425"/>
                    </a:xfrm>
                    <a:prstGeom prst="rect">
                      <a:avLst/>
                    </a:prstGeom>
                    <a:ln/>
                  </pic:spPr>
                </pic:pic>
              </a:graphicData>
            </a:graphic>
          </wp:anchor>
        </w:drawing>
      </w:r>
    </w:p>
    <w:p w14:paraId="76909E30" w14:textId="77777777" w:rsidR="00CF65E8" w:rsidRDefault="00CF65E8">
      <w:pPr>
        <w:ind w:left="-850" w:right="-567"/>
        <w:rPr>
          <w:rFonts w:ascii="Titillium Web" w:eastAsia="Titillium Web" w:hAnsi="Titillium Web" w:cs="Titillium Web"/>
        </w:rPr>
      </w:pPr>
    </w:p>
    <w:p w14:paraId="251184AF" w14:textId="77777777" w:rsidR="00CF65E8" w:rsidRDefault="00000000">
      <w:pPr>
        <w:ind w:left="-850" w:right="-567"/>
        <w:rPr>
          <w:rFonts w:ascii="Titillium Web" w:eastAsia="Titillium Web" w:hAnsi="Titillium Web" w:cs="Titillium Web"/>
        </w:rPr>
      </w:pPr>
      <w:r>
        <w:rPr>
          <w:rFonts w:ascii="Titillium Web" w:eastAsia="Titillium Web" w:hAnsi="Titillium Web" w:cs="Titillium Web"/>
          <w:noProof/>
        </w:rPr>
        <w:drawing>
          <wp:inline distT="114300" distB="114300" distL="114300" distR="114300" wp14:anchorId="144AE24A" wp14:editId="17D7DFA4">
            <wp:extent cx="1144588" cy="4663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144588" cy="466313"/>
                    </a:xfrm>
                    <a:prstGeom prst="rect">
                      <a:avLst/>
                    </a:prstGeom>
                    <a:ln/>
                  </pic:spPr>
                </pic:pic>
              </a:graphicData>
            </a:graphic>
          </wp:inline>
        </w:drawing>
      </w:r>
    </w:p>
    <w:sectPr w:rsidR="00CF65E8">
      <w:headerReference w:type="default" r:id="rId10"/>
      <w:footerReference w:type="default" r:id="rId11"/>
      <w:headerReference w:type="first" r:id="rId12"/>
      <w:footerReference w:type="first" r:id="rId13"/>
      <w:pgSz w:w="11906" w:h="16838"/>
      <w:pgMar w:top="2267" w:right="1709" w:bottom="1247" w:left="1985" w:header="0" w:footer="4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2C645" w14:textId="77777777" w:rsidR="00A9788A" w:rsidRDefault="00A9788A">
      <w:r>
        <w:separator/>
      </w:r>
    </w:p>
  </w:endnote>
  <w:endnote w:type="continuationSeparator" w:id="0">
    <w:p w14:paraId="466AD220" w14:textId="77777777" w:rsidR="00A9788A" w:rsidRDefault="00A97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E31BB7A-B283-4E89-BA34-B90E3DD7B9F6}"/>
    <w:embedBold r:id="rId2" w:fontKey="{213F82F1-B371-4ABD-8663-425B150A8A63}"/>
    <w:embedItalic r:id="rId3" w:fontKey="{A91B4224-240E-4628-A1D2-2477BB12C763}"/>
    <w:embedBoldItalic r:id="rId4" w:fontKey="{D3A7914A-472C-4F91-9164-0D376281088B}"/>
  </w:font>
  <w:font w:name="Titillium Web">
    <w:charset w:val="00"/>
    <w:family w:val="auto"/>
    <w:pitch w:val="variable"/>
    <w:sig w:usb0="00000007" w:usb1="00000001" w:usb2="00000000" w:usb3="00000000" w:csb0="00000093" w:csb1="00000000"/>
    <w:embedRegular r:id="rId5" w:fontKey="{964EF4DF-CB36-43C5-AF8E-8D2B1950D1E6}"/>
    <w:embedBold r:id="rId6" w:fontKey="{6CA75F09-171A-45E3-B623-A8C77D4A35CE}"/>
    <w:embedItalic r:id="rId7" w:fontKey="{BCB7899B-D5C8-4287-B473-B2DC06CF3DFD}"/>
    <w:embedBoldItalic r:id="rId8" w:fontKey="{8F1B37FE-B64B-42CB-9B23-81C8B757B860}"/>
  </w:font>
  <w:font w:name="Aptos">
    <w:charset w:val="00"/>
    <w:family w:val="swiss"/>
    <w:pitch w:val="variable"/>
    <w:sig w:usb0="20000287" w:usb1="00000003" w:usb2="00000000" w:usb3="00000000" w:csb0="0000019F" w:csb1="00000000"/>
    <w:embedRegular r:id="rId9" w:fontKey="{0878EC3D-DBC0-4C38-BD5F-844B964F4AF5}"/>
    <w:embedItalic r:id="rId10" w:fontKey="{B137B9E1-94FE-45C9-9AD1-FD6D0C60CF57}"/>
  </w:font>
  <w:font w:name="Calibri">
    <w:panose1 w:val="020F0502020204030204"/>
    <w:charset w:val="00"/>
    <w:family w:val="swiss"/>
    <w:pitch w:val="variable"/>
    <w:sig w:usb0="E4002EFF" w:usb1="C200247B" w:usb2="00000009" w:usb3="00000000" w:csb0="000001FF" w:csb1="00000000"/>
    <w:embedRegular r:id="rId11" w:fontKey="{EEE0E38E-6362-493C-A068-46FA267579D8}"/>
  </w:font>
  <w:font w:name="Cambria">
    <w:panose1 w:val="02040503050406030204"/>
    <w:charset w:val="00"/>
    <w:family w:val="roman"/>
    <w:pitch w:val="variable"/>
    <w:sig w:usb0="E00006FF" w:usb1="420024FF" w:usb2="02000000" w:usb3="00000000" w:csb0="0000019F" w:csb1="00000000"/>
    <w:embedRegular r:id="rId12" w:fontKey="{6842C4C4-160A-4FB7-BAA4-3F5AABEB15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4B500" w14:textId="77777777" w:rsidR="00CF65E8" w:rsidRDefault="00000000">
    <w:pPr>
      <w:widowControl w:val="0"/>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 </w:t>
    </w:r>
  </w:p>
  <w:p w14:paraId="1860AC86" w14:textId="77777777" w:rsidR="00CF65E8" w:rsidRDefault="00CF65E8">
    <w:pPr>
      <w:pBdr>
        <w:top w:val="nil"/>
        <w:left w:val="nil"/>
        <w:bottom w:val="nil"/>
        <w:right w:val="nil"/>
        <w:between w:val="nil"/>
      </w:pBdr>
      <w:tabs>
        <w:tab w:val="center" w:pos="4819"/>
        <w:tab w:val="right" w:pos="9638"/>
      </w:tabs>
      <w:spacing w:before="24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5C44E" w14:textId="77777777" w:rsidR="00CF65E8" w:rsidRDefault="00CF65E8">
    <w:pPr>
      <w:jc w:val="both"/>
      <w:rPr>
        <w:rFonts w:ascii="Calibri" w:eastAsia="Calibri" w:hAnsi="Calibri" w:cs="Calibri"/>
        <w:sz w:val="20"/>
        <w:szCs w:val="20"/>
      </w:rPr>
    </w:pPr>
  </w:p>
  <w:p w14:paraId="73E8DFF7" w14:textId="77777777" w:rsidR="00CF65E8" w:rsidRDefault="00CF65E8">
    <w:pPr>
      <w:pBdr>
        <w:top w:val="nil"/>
        <w:left w:val="nil"/>
        <w:bottom w:val="nil"/>
        <w:right w:val="nil"/>
        <w:between w:val="nil"/>
      </w:pBdr>
      <w:tabs>
        <w:tab w:val="center" w:pos="4819"/>
        <w:tab w:val="right" w:pos="9638"/>
      </w:tabs>
      <w:rPr>
        <w:color w:val="000000"/>
      </w:rPr>
    </w:pPr>
  </w:p>
  <w:p w14:paraId="47E4FBD8" w14:textId="77777777" w:rsidR="00CF65E8" w:rsidRDefault="00CF65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1E12A" w14:textId="77777777" w:rsidR="00A9788A" w:rsidRDefault="00A9788A">
      <w:r>
        <w:separator/>
      </w:r>
    </w:p>
  </w:footnote>
  <w:footnote w:type="continuationSeparator" w:id="0">
    <w:p w14:paraId="0DF9ECF9" w14:textId="77777777" w:rsidR="00A9788A" w:rsidRDefault="00A97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CED8D" w14:textId="77777777" w:rsidR="00CF65E8" w:rsidRDefault="00000000">
    <w:pPr>
      <w:pBdr>
        <w:top w:val="nil"/>
        <w:left w:val="nil"/>
        <w:bottom w:val="nil"/>
        <w:right w:val="nil"/>
        <w:between w:val="nil"/>
      </w:pBdr>
      <w:tabs>
        <w:tab w:val="center" w:pos="4819"/>
        <w:tab w:val="right" w:pos="9638"/>
      </w:tabs>
    </w:pPr>
    <w:r>
      <w:rPr>
        <w:noProof/>
      </w:rPr>
      <w:drawing>
        <wp:anchor distT="0" distB="0" distL="0" distR="0" simplePos="0" relativeHeight="251658240" behindDoc="1" locked="0" layoutInCell="1" hidden="0" allowOverlap="1" wp14:anchorId="1C362227" wp14:editId="63C8EE7C">
          <wp:simplePos x="0" y="0"/>
          <wp:positionH relativeFrom="column">
            <wp:posOffset>2025963</wp:posOffset>
          </wp:positionH>
          <wp:positionV relativeFrom="paragraph">
            <wp:posOffset>114300</wp:posOffset>
          </wp:positionV>
          <wp:extent cx="1161737" cy="1166811"/>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61737" cy="1166811"/>
                  </a:xfrm>
                  <a:prstGeom prst="rect">
                    <a:avLst/>
                  </a:prstGeom>
                  <a:ln/>
                </pic:spPr>
              </pic:pic>
            </a:graphicData>
          </a:graphic>
        </wp:anchor>
      </w:drawing>
    </w:r>
  </w:p>
  <w:p w14:paraId="41F21BDB" w14:textId="77777777" w:rsidR="00CF65E8" w:rsidRDefault="00CF65E8">
    <w:pPr>
      <w:pBdr>
        <w:top w:val="nil"/>
        <w:left w:val="nil"/>
        <w:bottom w:val="nil"/>
        <w:right w:val="nil"/>
        <w:between w:val="nil"/>
      </w:pBdr>
      <w:tabs>
        <w:tab w:val="center" w:pos="4819"/>
        <w:tab w:val="right" w:pos="9638"/>
      </w:tabs>
      <w:jc w:val="center"/>
    </w:pPr>
  </w:p>
  <w:p w14:paraId="00236E0A" w14:textId="77777777" w:rsidR="00CF65E8" w:rsidRDefault="00CF65E8">
    <w:pPr>
      <w:pBdr>
        <w:top w:val="nil"/>
        <w:left w:val="nil"/>
        <w:bottom w:val="nil"/>
        <w:right w:val="nil"/>
        <w:between w:val="nil"/>
      </w:pBdr>
      <w:tabs>
        <w:tab w:val="center" w:pos="4819"/>
        <w:tab w:val="right" w:pos="9638"/>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178E1" w14:textId="77777777" w:rsidR="00CF65E8" w:rsidRDefault="00CF65E8">
    <w:pPr>
      <w:pBdr>
        <w:top w:val="nil"/>
        <w:left w:val="nil"/>
        <w:bottom w:val="nil"/>
        <w:right w:val="nil"/>
        <w:between w:val="nil"/>
      </w:pBdr>
      <w:tabs>
        <w:tab w:val="center" w:pos="4819"/>
        <w:tab w:val="right" w:pos="9638"/>
      </w:tabs>
      <w:ind w:left="1700" w:hanging="1700"/>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4507E0"/>
    <w:multiLevelType w:val="multilevel"/>
    <w:tmpl w:val="865AC1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518809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5E8"/>
    <w:rsid w:val="002D7EF6"/>
    <w:rsid w:val="002E49CF"/>
    <w:rsid w:val="007578C7"/>
    <w:rsid w:val="009027DC"/>
    <w:rsid w:val="00A9788A"/>
    <w:rsid w:val="00B45BF6"/>
    <w:rsid w:val="00CF65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B7B85"/>
  <w15:docId w15:val="{98D47F2E-9804-9543-949C-F41C6BAD2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outlineLvl w:val="0"/>
    </w:pPr>
    <w:rPr>
      <w:b/>
      <w:bCs/>
    </w:rPr>
  </w:style>
  <w:style w:type="paragraph" w:styleId="Titolo2">
    <w:name w:val="heading 2"/>
    <w:basedOn w:val="Normale"/>
    <w:next w:val="Normale"/>
    <w:uiPriority w:val="9"/>
    <w:semiHidden/>
    <w:unhideWhenUsed/>
    <w:qFormat/>
    <w:pPr>
      <w:keepNext/>
      <w:spacing w:before="240" w:after="60"/>
      <w:outlineLvl w:val="1"/>
    </w:pPr>
    <w:rPr>
      <w:rFonts w:ascii="Arial" w:eastAsia="Arial" w:hAnsi="Arial" w:cs="Arial"/>
      <w:b/>
      <w:bCs/>
      <w:i/>
      <w:iCs/>
      <w:sz w:val="28"/>
      <w:szCs w:val="28"/>
    </w:rPr>
  </w:style>
  <w:style w:type="paragraph" w:styleId="Titolo3">
    <w:name w:val="heading 3"/>
    <w:basedOn w:val="Normale"/>
    <w:next w:val="Normale"/>
    <w:uiPriority w:val="9"/>
    <w:semiHidden/>
    <w:unhideWhenUsed/>
    <w:qFormat/>
    <w:pPr>
      <w:keepNext/>
      <w:spacing w:before="240" w:after="60"/>
      <w:outlineLvl w:val="2"/>
    </w:pPr>
    <w:rPr>
      <w:rFonts w:ascii="Arial" w:eastAsia="Arial" w:hAnsi="Arial" w:cs="Arial"/>
      <w:b/>
      <w:bCs/>
      <w:sz w:val="26"/>
      <w:szCs w:val="26"/>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bCs/>
      <w:color w:val="000000"/>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TCRy+WmrjpTyRJke6YgwYYvn2g==">CgMxLjA4AHIhMXVMNzI4Vl85d0szQ24zZXhCb25VdmdTQnh1WFlNd2Rm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1736</Words>
  <Characters>9896</Characters>
  <Application>Microsoft Office Word</Application>
  <DocSecurity>0</DocSecurity>
  <Lines>82</Lines>
  <Paragraphs>23</Paragraphs>
  <ScaleCrop>false</ScaleCrop>
  <Company/>
  <LinksUpToDate>false</LinksUpToDate>
  <CharactersWithSpaces>11609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Paronetto</dc:creator>
  <cp:lastModifiedBy>Simona Paronetto</cp:lastModifiedBy>
  <cp:revision>2</cp:revision>
  <dcterms:created xsi:type="dcterms:W3CDTF">2026-05-13T09:20:00Z</dcterms:created>
  <dcterms:modified xsi:type="dcterms:W3CDTF">2026-05-13T09:20:00Z</dcterms:modified>
</cp:coreProperties>
</file>