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E260" w14:textId="2D07073D" w:rsidR="00C42AE2" w:rsidRPr="00603960" w:rsidRDefault="00C42AE2" w:rsidP="00112BE6">
      <w:pPr>
        <w:spacing w:line="360" w:lineRule="auto"/>
        <w:rPr>
          <w:rFonts w:ascii="Titillium Web" w:hAnsi="Titillium Web"/>
          <w:bCs/>
          <w:sz w:val="24"/>
          <w:szCs w:val="24"/>
          <w:lang w:val="it-IT"/>
        </w:rPr>
        <w:sectPr w:rsidR="00C42AE2" w:rsidRPr="00603960" w:rsidSect="00435D5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2835" w:right="1259" w:bottom="1440" w:left="1168" w:header="851" w:footer="1140" w:gutter="0"/>
          <w:pgNumType w:start="2"/>
          <w:cols w:space="720"/>
          <w:titlePg/>
        </w:sectPr>
      </w:pPr>
    </w:p>
    <w:p w14:paraId="310E2C4D" w14:textId="0B7D7B4F" w:rsidR="005075FC" w:rsidRPr="00603960" w:rsidRDefault="00E87291" w:rsidP="00713E3B">
      <w:pPr>
        <w:spacing w:line="360" w:lineRule="auto"/>
        <w:jc w:val="both"/>
        <w:rPr>
          <w:rFonts w:ascii="Titillium Web" w:hAnsi="Titillium Web"/>
          <w:b/>
          <w:sz w:val="24"/>
          <w:szCs w:val="24"/>
          <w:lang w:val="it-IT"/>
        </w:rPr>
      </w:pPr>
      <w:r w:rsidRPr="00603960">
        <w:rPr>
          <w:rFonts w:ascii="Titillium Web" w:hAnsi="Titillium Web"/>
          <w:bCs/>
          <w:sz w:val="24"/>
          <w:szCs w:val="24"/>
          <w:lang w:val="it-IT"/>
        </w:rPr>
        <w:t xml:space="preserve">Roma, </w:t>
      </w:r>
      <w:r w:rsidR="005D220D">
        <w:rPr>
          <w:rFonts w:ascii="Titillium Web" w:hAnsi="Titillium Web"/>
          <w:bCs/>
          <w:sz w:val="24"/>
          <w:szCs w:val="24"/>
          <w:lang w:val="it-IT"/>
        </w:rPr>
        <w:t>2</w:t>
      </w:r>
      <w:r w:rsidR="00096915">
        <w:rPr>
          <w:rFonts w:ascii="Titillium Web" w:hAnsi="Titillium Web"/>
          <w:bCs/>
          <w:sz w:val="24"/>
          <w:szCs w:val="24"/>
          <w:lang w:val="it-IT"/>
        </w:rPr>
        <w:t>8</w:t>
      </w:r>
      <w:r w:rsidR="007F49CB">
        <w:rPr>
          <w:rFonts w:ascii="Titillium Web" w:hAnsi="Titillium Web"/>
          <w:bCs/>
          <w:sz w:val="24"/>
          <w:szCs w:val="24"/>
          <w:lang w:val="it-IT"/>
        </w:rPr>
        <w:t xml:space="preserve"> maggio 2026</w:t>
      </w:r>
    </w:p>
    <w:p w14:paraId="4EEE240A" w14:textId="77777777" w:rsidR="009C1353" w:rsidRPr="00603960" w:rsidRDefault="009C1353" w:rsidP="009C1353">
      <w:pPr>
        <w:spacing w:line="240" w:lineRule="auto"/>
        <w:jc w:val="center"/>
        <w:rPr>
          <w:rFonts w:ascii="Titillium Web" w:hAnsi="Titillium Web"/>
          <w:b/>
          <w:sz w:val="24"/>
          <w:szCs w:val="24"/>
          <w:lang w:val="it-IT"/>
        </w:rPr>
      </w:pPr>
    </w:p>
    <w:p w14:paraId="59DCE1FC" w14:textId="1C439C72" w:rsidR="005075FC" w:rsidRDefault="00096915" w:rsidP="00AA6B07">
      <w:pPr>
        <w:spacing w:line="240" w:lineRule="auto"/>
        <w:jc w:val="center"/>
        <w:rPr>
          <w:rFonts w:ascii="Titillium Web" w:hAnsi="Titillium Web"/>
          <w:b/>
          <w:sz w:val="28"/>
          <w:szCs w:val="28"/>
          <w:lang w:val="it-IT"/>
        </w:rPr>
      </w:pPr>
      <w:r w:rsidRPr="00096915">
        <w:rPr>
          <w:rFonts w:ascii="Titillium Web" w:hAnsi="Titillium Web"/>
          <w:b/>
          <w:sz w:val="28"/>
          <w:szCs w:val="28"/>
          <w:lang w:val="it-IT"/>
        </w:rPr>
        <w:t>INPS-Unioncamere, siglata la nuova Convenzione. Dati, interoperabilità e governance digitale al servizio della competitività del Paese</w:t>
      </w:r>
      <w:r w:rsidR="003F1C00">
        <w:rPr>
          <w:rFonts w:ascii="Titillium Web" w:hAnsi="Titillium Web"/>
          <w:b/>
          <w:sz w:val="28"/>
          <w:szCs w:val="28"/>
          <w:lang w:val="it-IT"/>
        </w:rPr>
        <w:t>.</w:t>
      </w:r>
    </w:p>
    <w:p w14:paraId="3BCF40B8" w14:textId="6A0E568C" w:rsidR="00873BA2" w:rsidRDefault="004A6BEC" w:rsidP="004A6BEC">
      <w:pPr>
        <w:tabs>
          <w:tab w:val="left" w:pos="2940"/>
        </w:tabs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  <w:r>
        <w:rPr>
          <w:rFonts w:ascii="Titillium Web" w:hAnsi="Titillium Web"/>
          <w:bCs/>
          <w:sz w:val="24"/>
          <w:szCs w:val="24"/>
          <w:lang w:val="it-IT"/>
        </w:rPr>
        <w:tab/>
      </w:r>
    </w:p>
    <w:p w14:paraId="28F3F679" w14:textId="0EA362CB" w:rsidR="005D220D" w:rsidRDefault="00096915" w:rsidP="003F1C00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  <w:r w:rsidRPr="00096915">
        <w:rPr>
          <w:rFonts w:ascii="Titillium Web" w:hAnsi="Titillium Web"/>
          <w:bCs/>
          <w:sz w:val="24"/>
          <w:szCs w:val="24"/>
          <w:lang w:val="it-IT"/>
        </w:rPr>
        <w:t>INPS e Unioncamere rafforzano la collaborazione istituzionale con la firma di una nuova Convenzione finalizzata allo sviluppo dello scambio dati, all’integrazione delle piattaforme digitali e alla costruzione di nuove sinergie operative a supporto del sistema produttivo nazionale.</w:t>
      </w:r>
    </w:p>
    <w:p w14:paraId="1DF29AC0" w14:textId="77777777" w:rsidR="00096915" w:rsidRDefault="00096915" w:rsidP="003F1C00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</w:p>
    <w:p w14:paraId="177BB2EC" w14:textId="77777777" w:rsid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  <w:r w:rsidRPr="00096915">
        <w:rPr>
          <w:rFonts w:ascii="Titillium Web" w:hAnsi="Titillium Web"/>
          <w:bCs/>
          <w:sz w:val="24"/>
          <w:szCs w:val="24"/>
          <w:lang w:val="it-IT"/>
        </w:rPr>
        <w:t xml:space="preserve">L’accordo, sottoscritto dal presidente dell’INPS </w:t>
      </w:r>
      <w:r w:rsidRPr="00DD53ED">
        <w:rPr>
          <w:rFonts w:ascii="Titillium Web" w:hAnsi="Titillium Web"/>
          <w:b/>
          <w:sz w:val="24"/>
          <w:szCs w:val="24"/>
          <w:lang w:val="it-IT"/>
        </w:rPr>
        <w:t>Gabriele Fava</w:t>
      </w:r>
      <w:r w:rsidRPr="00096915">
        <w:rPr>
          <w:rFonts w:ascii="Titillium Web" w:hAnsi="Titillium Web"/>
          <w:bCs/>
          <w:sz w:val="24"/>
          <w:szCs w:val="24"/>
          <w:lang w:val="it-IT"/>
        </w:rPr>
        <w:t xml:space="preserve"> e dal presidente di Unioncamere </w:t>
      </w:r>
      <w:r w:rsidRPr="00DD53ED">
        <w:rPr>
          <w:rFonts w:ascii="Titillium Web" w:hAnsi="Titillium Web"/>
          <w:b/>
          <w:sz w:val="24"/>
          <w:szCs w:val="24"/>
          <w:lang w:val="it-IT"/>
        </w:rPr>
        <w:t>Andrea Prete</w:t>
      </w:r>
      <w:r w:rsidRPr="00096915">
        <w:rPr>
          <w:rFonts w:ascii="Titillium Web" w:hAnsi="Titillium Web"/>
          <w:bCs/>
          <w:sz w:val="24"/>
          <w:szCs w:val="24"/>
          <w:lang w:val="it-IT"/>
        </w:rPr>
        <w:t>, aggiorna e amplia la Convenzione del 2020, consolidando un modello di interoperabilità tecnologica avanzata fondato sulla condivisione delle informazioni e sul monitoraggio costante delle dinamiche economiche e occupazionali del Paese.</w:t>
      </w:r>
    </w:p>
    <w:p w14:paraId="0EB235F9" w14:textId="77777777" w:rsidR="00096915" w:rsidRP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</w:p>
    <w:p w14:paraId="7F8BBCB5" w14:textId="77777777" w:rsid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  <w:r w:rsidRPr="00096915">
        <w:rPr>
          <w:rFonts w:ascii="Titillium Web" w:hAnsi="Titillium Web"/>
          <w:bCs/>
          <w:sz w:val="24"/>
          <w:szCs w:val="24"/>
          <w:lang w:val="it-IT"/>
        </w:rPr>
        <w:t>La nuova intesa introduce modalità evolute di dialogo tra le piattaforme informatiche dell’INPS e del sistema camerale, consentendo uno scambio più rapido, integrato ed efficiente dei dati necessari all’esercizio delle rispettive funzioni istituzionali.</w:t>
      </w:r>
    </w:p>
    <w:p w14:paraId="0E339E00" w14:textId="77777777" w:rsidR="00096915" w:rsidRP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</w:p>
    <w:p w14:paraId="2ED355B4" w14:textId="77777777" w:rsid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  <w:r w:rsidRPr="00096915">
        <w:rPr>
          <w:rFonts w:ascii="Titillium Web" w:hAnsi="Titillium Web"/>
          <w:bCs/>
          <w:sz w:val="24"/>
          <w:szCs w:val="24"/>
          <w:lang w:val="it-IT"/>
        </w:rPr>
        <w:lastRenderedPageBreak/>
        <w:t>La Convenzione disciplina, in particolare, l’accesso da parte dell’INPS ai dati del Registro delle Imprese, del R.E.A., ai bilanci, agli atti costitutivi e alle informazioni relative alle procedure concorsuali. Parallelamente, INPS fornirà a Unioncamere micro-dati anonimizzati con cadenza trimestrale relativi ai lavoratori dipendenti, autonomi, agricoli e professionisti, fondamentali per le attività di analisi statistica ed economica del sistema camerale.</w:t>
      </w:r>
    </w:p>
    <w:p w14:paraId="76BD2081" w14:textId="77777777" w:rsidR="00096915" w:rsidRP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</w:p>
    <w:p w14:paraId="7C8BAE3B" w14:textId="77777777" w:rsidR="00096915" w:rsidRP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  <w:r w:rsidRPr="00096915">
        <w:rPr>
          <w:rFonts w:ascii="Titillium Web" w:hAnsi="Titillium Web"/>
          <w:bCs/>
          <w:sz w:val="24"/>
          <w:szCs w:val="24"/>
          <w:lang w:val="it-IT"/>
        </w:rPr>
        <w:t>L’accordo prevede inoltre l’istituzione di un Gruppo di lavoro dedicato, con il compito di individuare ulteriori iniziative di interesse comune e sviluppare nuove forme di cooperazione istituzionale.</w:t>
      </w:r>
    </w:p>
    <w:p w14:paraId="15A81774" w14:textId="77777777" w:rsidR="00096915" w:rsidRP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</w:p>
    <w:p w14:paraId="6C988718" w14:textId="77777777" w:rsid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  <w:r w:rsidRPr="00096915">
        <w:rPr>
          <w:rFonts w:ascii="Titillium Web" w:hAnsi="Titillium Web"/>
          <w:bCs/>
          <w:sz w:val="24"/>
          <w:szCs w:val="24"/>
          <w:lang w:val="it-IT"/>
        </w:rPr>
        <w:t>“L’Italia ha bisogno di istituzioni che non si limitino ad amministrare il presente, ma che siano capaci di leggere, interpretare e anticipare i cambiamenti profondi dell’economia e del lavoro. Questa Convenzione va esattamente in questa direzione” ha dichiarato il presidente dell’INPS Gabriele Fava. “Mettere in connessione il patrimonio informativo dell’INPS e quello del sistema camerale significa costruire una nuova infrastruttura pubblica della conoscenza, capace di trasformare i dati in capacità strategica, semplificazione e sviluppo. Oggi competitività, welfare e crescita non viaggiano più su binari separati. Sono parte della stessa sfida”.</w:t>
      </w:r>
    </w:p>
    <w:p w14:paraId="326C18AF" w14:textId="77777777" w:rsidR="00096915" w:rsidRP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</w:p>
    <w:p w14:paraId="32838846" w14:textId="5094F391" w:rsid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  <w:r w:rsidRPr="00096915">
        <w:rPr>
          <w:rFonts w:ascii="Titillium Web" w:hAnsi="Titillium Web"/>
          <w:bCs/>
          <w:sz w:val="24"/>
          <w:szCs w:val="24"/>
          <w:lang w:val="it-IT"/>
        </w:rPr>
        <w:t>“La vera innovazione non è soltanto digitalizzare procedure" aggiunge ancora il Presidente INPS "ma creare una governance pubblica intelligente, interoperabile e proattiva, capace di ridurre i tempi amministrativi, alleggerire il peso burocratico sulle imprese e accompagnare cittadini e sistema produttivo nelle grandi trasformazioni in corso"</w:t>
      </w:r>
      <w:r>
        <w:rPr>
          <w:rFonts w:ascii="Titillium Web" w:hAnsi="Titillium Web"/>
          <w:bCs/>
          <w:sz w:val="24"/>
          <w:szCs w:val="24"/>
          <w:lang w:val="it-IT"/>
        </w:rPr>
        <w:t>.</w:t>
      </w:r>
    </w:p>
    <w:p w14:paraId="22E81E48" w14:textId="77777777" w:rsidR="00096915" w:rsidRP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</w:p>
    <w:p w14:paraId="7B0FB646" w14:textId="77777777" w:rsidR="00096915" w:rsidRP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  <w:r w:rsidRPr="00096915">
        <w:rPr>
          <w:rFonts w:ascii="Titillium Web" w:hAnsi="Titillium Web"/>
          <w:bCs/>
          <w:sz w:val="24"/>
          <w:szCs w:val="24"/>
          <w:lang w:val="it-IT"/>
        </w:rPr>
        <w:lastRenderedPageBreak/>
        <w:t>“In un contesto segnato da transizione tecnologica, cambiamenti demografici e nuove fragilità economiche, la cooperazione tra istituzioni diventa una leva strategica nazionale. Perché la qualità dei dati, oggi, coincide sempre di più con la qualità delle decisioni pubbliche e quindi con la capacità di un Paese di restare competitivo, inclusivo e coeso”, conclude Fava.</w:t>
      </w:r>
    </w:p>
    <w:p w14:paraId="24D09B42" w14:textId="77777777" w:rsidR="00096915" w:rsidRP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</w:p>
    <w:p w14:paraId="27603533" w14:textId="45CEF525" w:rsidR="00096915" w:rsidRDefault="00096915" w:rsidP="00096915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  <w:r w:rsidRPr="00096915">
        <w:rPr>
          <w:rFonts w:ascii="Titillium Web" w:hAnsi="Titillium Web"/>
          <w:bCs/>
          <w:sz w:val="24"/>
          <w:szCs w:val="24"/>
          <w:lang w:val="it-IT"/>
        </w:rPr>
        <w:t>Secondo il presidente di Unioncamere, Andrea Prete, "</w:t>
      </w:r>
      <w:r w:rsidR="00261FF2">
        <w:rPr>
          <w:rFonts w:ascii="Titillium Web" w:hAnsi="Titillium Web"/>
          <w:bCs/>
          <w:sz w:val="24"/>
          <w:szCs w:val="24"/>
          <w:lang w:val="it-IT"/>
        </w:rPr>
        <w:t>C</w:t>
      </w:r>
      <w:r w:rsidRPr="00096915">
        <w:rPr>
          <w:rFonts w:ascii="Titillium Web" w:hAnsi="Titillium Web"/>
          <w:bCs/>
          <w:sz w:val="24"/>
          <w:szCs w:val="24"/>
          <w:lang w:val="it-IT"/>
        </w:rPr>
        <w:t>on questa Convenzione, INPS e Unioncamere inaugurano una nuova stagione di cooperazione che mette la tecnologia al servizio della trasparenza e dello sviluppo economico, riducendo gli oneri amministrativi per le imprese"</w:t>
      </w:r>
      <w:r>
        <w:rPr>
          <w:rFonts w:ascii="Titillium Web" w:hAnsi="Titillium Web"/>
          <w:bCs/>
          <w:sz w:val="24"/>
          <w:szCs w:val="24"/>
          <w:lang w:val="it-IT"/>
        </w:rPr>
        <w:t>.</w:t>
      </w:r>
    </w:p>
    <w:sectPr w:rsidR="00096915" w:rsidSect="00AA6B07">
      <w:type w:val="continuous"/>
      <w:pgSz w:w="12240" w:h="15840"/>
      <w:pgMar w:top="993" w:right="1260" w:bottom="2410" w:left="1170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291E" w14:textId="77777777" w:rsidR="00885315" w:rsidRDefault="00885315">
      <w:pPr>
        <w:spacing w:line="240" w:lineRule="auto"/>
      </w:pPr>
      <w:r>
        <w:separator/>
      </w:r>
    </w:p>
  </w:endnote>
  <w:endnote w:type="continuationSeparator" w:id="0">
    <w:p w14:paraId="5EEBB1EA" w14:textId="77777777" w:rsidR="00885315" w:rsidRDefault="00885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C01A" w14:textId="77777777" w:rsidR="00C42AE2" w:rsidRDefault="001527D1">
    <w:pPr>
      <w:widowControl w:val="0"/>
    </w:pPr>
    <w:r>
      <w:rPr>
        <w:noProof/>
        <w:lang w:val="it-IT"/>
      </w:rPr>
      <w:drawing>
        <wp:anchor distT="0" distB="0" distL="0" distR="0" simplePos="0" relativeHeight="251664384" behindDoc="1" locked="0" layoutInCell="1" hidden="0" allowOverlap="1" wp14:anchorId="5C2FA37C" wp14:editId="2A9FACA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841"/>
          <wp:effectExtent l="0" t="0" r="0" b="0"/>
          <wp:wrapNone/>
          <wp:docPr id="3002610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2"/>
      <w:tblW w:w="9795" w:type="dxa"/>
      <w:tblInd w:w="0" w:type="dxa"/>
      <w:tblLayout w:type="fixed"/>
      <w:tblLook w:val="0400" w:firstRow="0" w:lastRow="0" w:firstColumn="0" w:lastColumn="0" w:noHBand="0" w:noVBand="1"/>
    </w:tblPr>
    <w:tblGrid>
      <w:gridCol w:w="2820"/>
      <w:gridCol w:w="3450"/>
      <w:gridCol w:w="240"/>
      <w:gridCol w:w="3285"/>
    </w:tblGrid>
    <w:tr w:rsidR="00C42AE2" w14:paraId="207C6164" w14:textId="77777777">
      <w:trPr>
        <w:trHeight w:val="643"/>
      </w:trPr>
      <w:tc>
        <w:tcPr>
          <w:tcW w:w="2820" w:type="dxa"/>
        </w:tcPr>
        <w:p w14:paraId="5EA4A738" w14:textId="77777777" w:rsidR="00C42AE2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4"/>
              <w:szCs w:val="14"/>
            </w:rPr>
          </w:pPr>
          <w:r>
            <w:rPr>
              <w:smallCaps/>
              <w:noProof/>
              <w:color w:val="4F81BD"/>
              <w:sz w:val="14"/>
              <w:szCs w:val="14"/>
              <w:lang w:val="it-IT"/>
            </w:rPr>
            <w:drawing>
              <wp:inline distT="114300" distB="114300" distL="114300" distR="114300" wp14:anchorId="4AAE7B7F" wp14:editId="22C49D44">
                <wp:extent cx="1394701" cy="302726"/>
                <wp:effectExtent l="0" t="0" r="0" b="0"/>
                <wp:docPr id="12139556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701" cy="30272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0" w:type="dxa"/>
        </w:tcPr>
        <w:p w14:paraId="6DB00042" w14:textId="77777777" w:rsidR="00C42AE2" w:rsidRPr="008272D3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  <w:lang w:val="it-IT"/>
            </w:rPr>
          </w:pPr>
          <w:r w:rsidRPr="008272D3">
            <w:rPr>
              <w:b/>
              <w:color w:val="2F6DD5"/>
              <w:sz w:val="16"/>
              <w:szCs w:val="16"/>
              <w:lang w:val="it-IT"/>
            </w:rPr>
            <w:t>Via Ciro il Grande, 21 – 00144 Roma</w:t>
          </w:r>
        </w:p>
        <w:p w14:paraId="1406D9EB" w14:textId="77777777" w:rsidR="00C42AE2" w:rsidRPr="008272D3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  <w:lang w:val="it-IT"/>
            </w:rPr>
          </w:pPr>
          <w:r w:rsidRPr="008272D3">
            <w:rPr>
              <w:b/>
              <w:color w:val="2F6DD5"/>
              <w:sz w:val="16"/>
              <w:szCs w:val="16"/>
              <w:lang w:val="it-IT"/>
            </w:rPr>
            <w:t>tel. +39 000 0000000 – fax +39 000 0000000</w:t>
          </w:r>
        </w:p>
        <w:p w14:paraId="65E2BC40" w14:textId="77777777" w:rsidR="00C42AE2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</w:rPr>
          </w:pPr>
          <w:r>
            <w:rPr>
              <w:b/>
              <w:color w:val="2F6DD5"/>
              <w:sz w:val="16"/>
              <w:szCs w:val="16"/>
            </w:rPr>
            <w:t>cod. fisc.: 80078750587 p.iva: 02121151001</w:t>
          </w:r>
        </w:p>
      </w:tc>
      <w:tc>
        <w:tcPr>
          <w:tcW w:w="240" w:type="dxa"/>
        </w:tcPr>
        <w:p w14:paraId="465CBFB6" w14:textId="77777777" w:rsidR="00C42AE2" w:rsidRDefault="00C42AE2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6"/>
              <w:szCs w:val="16"/>
            </w:rPr>
          </w:pPr>
        </w:p>
      </w:tc>
      <w:tc>
        <w:tcPr>
          <w:tcW w:w="3285" w:type="dxa"/>
        </w:tcPr>
        <w:p w14:paraId="6F338880" w14:textId="77777777" w:rsidR="00C42AE2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4"/>
              <w:szCs w:val="14"/>
            </w:rPr>
          </w:pPr>
          <w:hyperlink r:id="rId3">
            <w:r>
              <w:rPr>
                <w:b/>
                <w:color w:val="1155CC"/>
                <w:sz w:val="14"/>
                <w:szCs w:val="14"/>
                <w:u w:val="single"/>
              </w:rPr>
              <w:t>RisorseStumentali.FriuliVeneziaGiulia@inps.it</w:t>
            </w:r>
          </w:hyperlink>
        </w:p>
        <w:p w14:paraId="2708791C" w14:textId="77777777" w:rsidR="00C42AE2" w:rsidRDefault="00C42AE2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</w:rPr>
          </w:pPr>
        </w:p>
        <w:p w14:paraId="0B1ADC26" w14:textId="77777777" w:rsidR="00C42AE2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6"/>
              <w:szCs w:val="16"/>
            </w:rPr>
          </w:pPr>
          <w:hyperlink r:id="rId4">
            <w:r>
              <w:rPr>
                <w:b/>
                <w:color w:val="1155CC"/>
                <w:sz w:val="16"/>
                <w:szCs w:val="16"/>
                <w:u w:val="single"/>
              </w:rPr>
              <w:t>www.inps.it</w:t>
            </w:r>
          </w:hyperlink>
        </w:p>
      </w:tc>
    </w:tr>
  </w:tbl>
  <w:p w14:paraId="5EB10D05" w14:textId="77777777" w:rsidR="00C42AE2" w:rsidRDefault="00C42AE2">
    <w:pPr>
      <w:tabs>
        <w:tab w:val="center" w:pos="4819"/>
        <w:tab w:val="right" w:pos="9638"/>
      </w:tabs>
      <w:spacing w:line="240" w:lineRule="auto"/>
    </w:pPr>
  </w:p>
  <w:p w14:paraId="494D74E6" w14:textId="77777777" w:rsidR="00C42AE2" w:rsidRDefault="00C42AE2">
    <w:pPr>
      <w:jc w:val="right"/>
    </w:pPr>
  </w:p>
  <w:p w14:paraId="3B8A6D9A" w14:textId="77777777" w:rsidR="00C42AE2" w:rsidRDefault="00C42AE2">
    <w:pPr>
      <w:jc w:val="center"/>
    </w:pPr>
  </w:p>
  <w:p w14:paraId="489B82D0" w14:textId="77777777" w:rsidR="00C42AE2" w:rsidRDefault="00C42A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D97C" w14:textId="77777777" w:rsidR="00C42AE2" w:rsidRDefault="001527D1">
    <w:pPr>
      <w:widowControl w:val="0"/>
    </w:pPr>
    <w:r>
      <w:rPr>
        <w:noProof/>
        <w:lang w:val="it-IT"/>
      </w:rPr>
      <w:drawing>
        <wp:anchor distT="0" distB="0" distL="0" distR="0" simplePos="0" relativeHeight="251662336" behindDoc="1" locked="0" layoutInCell="1" hidden="0" allowOverlap="1" wp14:anchorId="6BD20348" wp14:editId="72D4C93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841"/>
          <wp:effectExtent l="0" t="0" r="0" b="0"/>
          <wp:wrapNone/>
          <wp:docPr id="16762657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4"/>
      <w:tblW w:w="9795" w:type="dxa"/>
      <w:tblInd w:w="0" w:type="dxa"/>
      <w:tblLayout w:type="fixed"/>
      <w:tblLook w:val="0400" w:firstRow="0" w:lastRow="0" w:firstColumn="0" w:lastColumn="0" w:noHBand="0" w:noVBand="1"/>
    </w:tblPr>
    <w:tblGrid>
      <w:gridCol w:w="2685"/>
      <w:gridCol w:w="3585"/>
      <w:gridCol w:w="240"/>
      <w:gridCol w:w="3285"/>
    </w:tblGrid>
    <w:tr w:rsidR="00C42AE2" w14:paraId="646F7374" w14:textId="77777777">
      <w:trPr>
        <w:trHeight w:val="643"/>
      </w:trPr>
      <w:tc>
        <w:tcPr>
          <w:tcW w:w="2685" w:type="dxa"/>
        </w:tcPr>
        <w:p w14:paraId="17624AC8" w14:textId="57F52E80" w:rsidR="00C42AE2" w:rsidRDefault="00726B5F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405C4B4" wp14:editId="1C58364A">
                <wp:extent cx="953135" cy="340360"/>
                <wp:effectExtent l="0" t="0" r="0" b="2540"/>
                <wp:docPr id="1599246457" name="Immagine 15992464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135" cy="340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5" w:type="dxa"/>
        </w:tcPr>
        <w:p w14:paraId="3391C0DD" w14:textId="76AE2676" w:rsidR="00D7290B" w:rsidRPr="00D7290B" w:rsidRDefault="00016581" w:rsidP="00D7290B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  <w:lang w:val="it-IT"/>
            </w:rPr>
          </w:pPr>
          <w:r>
            <w:rPr>
              <w:b/>
              <w:color w:val="2F6DD5"/>
              <w:sz w:val="16"/>
              <w:szCs w:val="16"/>
              <w:lang w:val="it-IT"/>
            </w:rPr>
            <w:t>Via Ciro il Grande, 21</w:t>
          </w:r>
          <w:r w:rsidR="00D7290B" w:rsidRPr="00D7290B">
            <w:rPr>
              <w:b/>
              <w:color w:val="2F6DD5"/>
              <w:sz w:val="16"/>
              <w:szCs w:val="16"/>
              <w:lang w:val="it-IT"/>
            </w:rPr>
            <w:t xml:space="preserve"> - 0014</w:t>
          </w:r>
          <w:r>
            <w:rPr>
              <w:b/>
              <w:color w:val="2F6DD5"/>
              <w:sz w:val="16"/>
              <w:szCs w:val="16"/>
              <w:lang w:val="it-IT"/>
            </w:rPr>
            <w:t>4</w:t>
          </w:r>
          <w:r w:rsidR="00D7290B" w:rsidRPr="00D7290B">
            <w:rPr>
              <w:b/>
              <w:color w:val="2F6DD5"/>
              <w:sz w:val="16"/>
              <w:szCs w:val="16"/>
              <w:lang w:val="it-IT"/>
            </w:rPr>
            <w:t xml:space="preserve"> Roma </w:t>
          </w:r>
        </w:p>
        <w:p w14:paraId="57A7B9B0" w14:textId="23ADCD5A" w:rsidR="00C42AE2" w:rsidRDefault="00D7290B" w:rsidP="00D7290B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</w:rPr>
          </w:pPr>
          <w:r w:rsidRPr="00D7290B">
            <w:rPr>
              <w:b/>
              <w:color w:val="2F6DD5"/>
              <w:sz w:val="16"/>
              <w:szCs w:val="16"/>
              <w:lang w:val="it-IT"/>
            </w:rPr>
            <w:t>ufficio.stampa@inps.it</w:t>
          </w:r>
        </w:p>
      </w:tc>
      <w:tc>
        <w:tcPr>
          <w:tcW w:w="240" w:type="dxa"/>
        </w:tcPr>
        <w:p w14:paraId="588B75F8" w14:textId="77777777" w:rsidR="00C42AE2" w:rsidRDefault="00C42AE2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6"/>
              <w:szCs w:val="16"/>
            </w:rPr>
          </w:pPr>
        </w:p>
      </w:tc>
      <w:tc>
        <w:tcPr>
          <w:tcW w:w="3285" w:type="dxa"/>
        </w:tcPr>
        <w:p w14:paraId="5E14F107" w14:textId="5DABCE56" w:rsidR="00C42AE2" w:rsidRDefault="00C42AE2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6"/>
              <w:szCs w:val="16"/>
            </w:rPr>
          </w:pPr>
        </w:p>
      </w:tc>
    </w:tr>
  </w:tbl>
  <w:p w14:paraId="22AD2825" w14:textId="77777777" w:rsidR="00C42AE2" w:rsidRDefault="00C42AE2">
    <w:pPr>
      <w:tabs>
        <w:tab w:val="center" w:pos="4819"/>
        <w:tab w:val="right" w:pos="9638"/>
      </w:tabs>
      <w:spacing w:line="240" w:lineRule="auto"/>
    </w:pPr>
  </w:p>
  <w:p w14:paraId="67E9E8B5" w14:textId="77777777" w:rsidR="00C42AE2" w:rsidRDefault="00C42AE2">
    <w:pPr>
      <w:jc w:val="right"/>
    </w:pPr>
  </w:p>
  <w:p w14:paraId="13915CB8" w14:textId="77777777" w:rsidR="00C42AE2" w:rsidRDefault="00C42AE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A800" w14:textId="77777777" w:rsidR="00C42AE2" w:rsidRDefault="001527D1">
    <w:pPr>
      <w:widowControl w:val="0"/>
      <w:pBdr>
        <w:top w:val="nil"/>
        <w:left w:val="nil"/>
        <w:bottom w:val="nil"/>
        <w:right w:val="nil"/>
        <w:between w:val="nil"/>
      </w:pBdr>
    </w:pPr>
    <w:r>
      <w:rPr>
        <w:noProof/>
        <w:lang w:val="it-IT"/>
      </w:rPr>
      <w:drawing>
        <wp:anchor distT="0" distB="0" distL="0" distR="0" simplePos="0" relativeHeight="251663360" behindDoc="1" locked="0" layoutInCell="1" hidden="0" allowOverlap="1" wp14:anchorId="3AB58FC6" wp14:editId="625981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841"/>
          <wp:effectExtent l="0" t="0" r="0" b="0"/>
          <wp:wrapNone/>
          <wp:docPr id="7035956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3"/>
      <w:tblW w:w="9810" w:type="dxa"/>
      <w:tblInd w:w="0" w:type="dxa"/>
      <w:tblLayout w:type="fixed"/>
      <w:tblLook w:val="0400" w:firstRow="0" w:lastRow="0" w:firstColumn="0" w:lastColumn="0" w:noHBand="0" w:noVBand="1"/>
    </w:tblPr>
    <w:tblGrid>
      <w:gridCol w:w="4711"/>
      <w:gridCol w:w="392"/>
      <w:gridCol w:w="4707"/>
    </w:tblGrid>
    <w:tr w:rsidR="00C42AE2" w14:paraId="4943CC16" w14:textId="77777777">
      <w:trPr>
        <w:trHeight w:val="643"/>
      </w:trPr>
      <w:tc>
        <w:tcPr>
          <w:tcW w:w="4711" w:type="dxa"/>
        </w:tcPr>
        <w:p w14:paraId="7074DB63" w14:textId="0E3E931A" w:rsidR="00732A46" w:rsidRPr="00BA6FA4" w:rsidRDefault="002473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  <w:lang w:val="it-IT"/>
            </w:rPr>
          </w:pPr>
          <w:r w:rsidRPr="00BA6FA4">
            <w:rPr>
              <w:b/>
              <w:color w:val="2F6DD5"/>
              <w:sz w:val="16"/>
              <w:szCs w:val="16"/>
              <w:lang w:val="it-IT"/>
            </w:rPr>
            <w:t>V</w:t>
          </w:r>
          <w:r w:rsidR="00732A46" w:rsidRPr="00BA6FA4">
            <w:rPr>
              <w:b/>
              <w:color w:val="2F6DD5"/>
              <w:sz w:val="16"/>
              <w:szCs w:val="16"/>
              <w:lang w:val="it-IT"/>
            </w:rPr>
            <w:t>i</w:t>
          </w:r>
          <w:r>
            <w:rPr>
              <w:b/>
              <w:color w:val="2F6DD5"/>
              <w:sz w:val="16"/>
              <w:szCs w:val="16"/>
              <w:lang w:val="it-IT"/>
            </w:rPr>
            <w:t>a Ciro il Grande, 21</w:t>
          </w:r>
          <w:r w:rsidR="00732A46" w:rsidRPr="00BA6FA4">
            <w:rPr>
              <w:b/>
              <w:color w:val="2F6DD5"/>
              <w:sz w:val="16"/>
              <w:szCs w:val="16"/>
              <w:lang w:val="it-IT"/>
            </w:rPr>
            <w:t xml:space="preserve"> - 0014</w:t>
          </w:r>
          <w:r>
            <w:rPr>
              <w:b/>
              <w:color w:val="2F6DD5"/>
              <w:sz w:val="16"/>
              <w:szCs w:val="16"/>
              <w:lang w:val="it-IT"/>
            </w:rPr>
            <w:t>4</w:t>
          </w:r>
          <w:r w:rsidR="00732A46" w:rsidRPr="00BA6FA4">
            <w:rPr>
              <w:b/>
              <w:color w:val="2F6DD5"/>
              <w:sz w:val="16"/>
              <w:szCs w:val="16"/>
              <w:lang w:val="it-IT"/>
            </w:rPr>
            <w:t xml:space="preserve"> Roma </w:t>
          </w:r>
        </w:p>
        <w:p w14:paraId="0B54BFFF" w14:textId="336B3D85" w:rsidR="00C42AE2" w:rsidRDefault="00732A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8"/>
              <w:szCs w:val="18"/>
            </w:rPr>
          </w:pPr>
          <w:r w:rsidRPr="00BA6FA4">
            <w:rPr>
              <w:b/>
              <w:color w:val="2F6DD5"/>
              <w:sz w:val="16"/>
              <w:szCs w:val="16"/>
            </w:rPr>
            <w:t>ufficio.stampa@inps.it</w:t>
          </w:r>
        </w:p>
      </w:tc>
      <w:tc>
        <w:tcPr>
          <w:tcW w:w="392" w:type="dxa"/>
        </w:tcPr>
        <w:p w14:paraId="4D565667" w14:textId="77777777" w:rsidR="00C42AE2" w:rsidRDefault="00C42A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8"/>
              <w:szCs w:val="18"/>
            </w:rPr>
          </w:pPr>
        </w:p>
      </w:tc>
      <w:tc>
        <w:tcPr>
          <w:tcW w:w="4707" w:type="dxa"/>
        </w:tcPr>
        <w:p w14:paraId="043D932D" w14:textId="07D1DD11" w:rsidR="00C42AE2" w:rsidRDefault="001527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8"/>
              <w:szCs w:val="18"/>
            </w:rPr>
          </w:pPr>
          <w:r>
            <w:rPr>
              <w:b/>
              <w:color w:val="2F6DD5"/>
              <w:sz w:val="20"/>
              <w:szCs w:val="20"/>
            </w:rPr>
            <w:br/>
          </w:r>
        </w:p>
      </w:tc>
    </w:tr>
  </w:tbl>
  <w:p w14:paraId="48F93E4F" w14:textId="77777777" w:rsidR="00C42AE2" w:rsidRDefault="00C42A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BBF0" w14:textId="77777777" w:rsidR="00885315" w:rsidRDefault="00885315">
      <w:pPr>
        <w:spacing w:line="240" w:lineRule="auto"/>
      </w:pPr>
      <w:r>
        <w:separator/>
      </w:r>
    </w:p>
  </w:footnote>
  <w:footnote w:type="continuationSeparator" w:id="0">
    <w:p w14:paraId="4A18CDCE" w14:textId="77777777" w:rsidR="00885315" w:rsidRDefault="00885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979C" w14:textId="77777777" w:rsidR="00C42AE2" w:rsidRDefault="001527D1">
    <w:r>
      <w:rPr>
        <w:noProof/>
        <w:lang w:val="it-IT"/>
      </w:rPr>
      <w:drawing>
        <wp:anchor distT="0" distB="0" distL="0" distR="0" simplePos="0" relativeHeight="251661312" behindDoc="1" locked="0" layoutInCell="1" hidden="0" allowOverlap="1" wp14:anchorId="01760A99" wp14:editId="28813EC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034"/>
          <wp:effectExtent l="0" t="0" r="0" b="0"/>
          <wp:wrapNone/>
          <wp:docPr id="8269073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EC204C" w14:textId="77777777" w:rsidR="00C42AE2" w:rsidRDefault="00C42AE2"/>
  <w:p w14:paraId="7EA001A3" w14:textId="77777777" w:rsidR="00C42AE2" w:rsidRDefault="00C42A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DC2C" w14:textId="77777777" w:rsidR="00C42AE2" w:rsidRDefault="001527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  <w:lang w:val="it-IT"/>
      </w:rPr>
      <w:drawing>
        <wp:anchor distT="0" distB="0" distL="0" distR="0" simplePos="0" relativeHeight="251658240" behindDoc="1" locked="0" layoutInCell="1" hidden="0" allowOverlap="1" wp14:anchorId="01528F7F" wp14:editId="5757BE6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034"/>
          <wp:effectExtent l="0" t="0" r="0" b="0"/>
          <wp:wrapNone/>
          <wp:docPr id="13979458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01A3" w14:textId="27097D44" w:rsidR="00C42AE2" w:rsidRPr="00BA6FA4" w:rsidRDefault="00684AC9">
    <w:pPr>
      <w:spacing w:line="240" w:lineRule="auto"/>
      <w:rPr>
        <w:b/>
        <w:color w:val="2F6DD5"/>
        <w:sz w:val="16"/>
        <w:szCs w:val="16"/>
        <w:lang w:val="it-IT"/>
      </w:rPr>
    </w:pPr>
    <w:r>
      <w:rPr>
        <w:noProof/>
        <w:color w:val="0070C0"/>
        <w:sz w:val="16"/>
        <w:szCs w:val="16"/>
        <w:lang w:val="it-IT"/>
      </w:rPr>
      <w:drawing>
        <wp:anchor distT="0" distB="0" distL="114300" distR="114300" simplePos="0" relativeHeight="251665408" behindDoc="0" locked="0" layoutInCell="1" allowOverlap="1" wp14:anchorId="295F4D57" wp14:editId="08246F75">
          <wp:simplePos x="0" y="0"/>
          <wp:positionH relativeFrom="column">
            <wp:posOffset>-86360</wp:posOffset>
          </wp:positionH>
          <wp:positionV relativeFrom="paragraph">
            <wp:posOffset>-128905</wp:posOffset>
          </wp:positionV>
          <wp:extent cx="998220" cy="1332865"/>
          <wp:effectExtent l="0" t="0" r="0" b="635"/>
          <wp:wrapThrough wrapText="bothSides">
            <wp:wrapPolygon edited="0">
              <wp:start x="0" y="0"/>
              <wp:lineTo x="0" y="21302"/>
              <wp:lineTo x="21023" y="21302"/>
              <wp:lineTo x="21023" y="0"/>
              <wp:lineTo x="0" y="0"/>
            </wp:wrapPolygon>
          </wp:wrapThrough>
          <wp:docPr id="1133721239" name="Immagine 1133721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133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7D1" w:rsidRPr="00BA6FA4">
      <w:rPr>
        <w:b/>
        <w:color w:val="2F6DD5"/>
        <w:sz w:val="16"/>
        <w:szCs w:val="16"/>
        <w:lang w:val="it-IT"/>
      </w:rPr>
      <w:t xml:space="preserve">Direzione </w:t>
    </w:r>
    <w:r w:rsidR="00DB6F28">
      <w:rPr>
        <w:b/>
        <w:color w:val="2F6DD5"/>
        <w:sz w:val="16"/>
        <w:szCs w:val="16"/>
        <w:lang w:val="it-IT"/>
      </w:rPr>
      <w:t>c</w:t>
    </w:r>
    <w:r w:rsidR="001527D1" w:rsidRPr="00BA6FA4">
      <w:rPr>
        <w:b/>
        <w:color w:val="2F6DD5"/>
        <w:sz w:val="16"/>
        <w:szCs w:val="16"/>
        <w:lang w:val="it-IT"/>
      </w:rPr>
      <w:t>entrale</w:t>
    </w:r>
    <w:r w:rsidR="00DB6F28">
      <w:rPr>
        <w:b/>
        <w:color w:val="2F6DD5"/>
        <w:sz w:val="16"/>
        <w:szCs w:val="16"/>
        <w:lang w:val="it-IT"/>
      </w:rPr>
      <w:t xml:space="preserve"> Comunicazione</w:t>
    </w:r>
    <w:r w:rsidR="001527D1" w:rsidRPr="00BA6FA4">
      <w:rPr>
        <w:b/>
        <w:color w:val="2F6DD5"/>
        <w:sz w:val="16"/>
        <w:szCs w:val="16"/>
        <w:lang w:val="it-IT"/>
      </w:rPr>
      <w:t xml:space="preserve"> </w:t>
    </w:r>
    <w:r w:rsidR="001527D1" w:rsidRPr="00BA6FA4">
      <w:rPr>
        <w:noProof/>
        <w:sz w:val="16"/>
        <w:szCs w:val="16"/>
        <w:lang w:val="it-IT"/>
      </w:rPr>
      <w:drawing>
        <wp:anchor distT="0" distB="0" distL="0" distR="0" simplePos="0" relativeHeight="251660288" behindDoc="1" locked="0" layoutInCell="1" hidden="0" allowOverlap="1" wp14:anchorId="03C526E1" wp14:editId="3D7132C5">
          <wp:simplePos x="0" y="0"/>
          <wp:positionH relativeFrom="column">
            <wp:posOffset>781050</wp:posOffset>
          </wp:positionH>
          <wp:positionV relativeFrom="paragraph">
            <wp:posOffset>-209548</wp:posOffset>
          </wp:positionV>
          <wp:extent cx="5394960" cy="26975"/>
          <wp:effectExtent l="0" t="0" r="0" b="0"/>
          <wp:wrapNone/>
          <wp:docPr id="128185198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26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5EEA8D" w14:textId="32176EE6" w:rsidR="00BF6DC7" w:rsidRPr="00BA6FA4" w:rsidRDefault="004A6BEC">
    <w:pPr>
      <w:spacing w:line="240" w:lineRule="auto"/>
      <w:rPr>
        <w:b/>
        <w:color w:val="2F6DD5"/>
        <w:sz w:val="16"/>
        <w:szCs w:val="16"/>
        <w:lang w:val="it-IT"/>
      </w:rPr>
    </w:pPr>
    <w:r>
      <w:rPr>
        <w:b/>
        <w:noProof/>
        <w:color w:val="2F6DD5"/>
        <w:sz w:val="20"/>
        <w:szCs w:val="20"/>
        <w:lang w:val="it-IT"/>
      </w:rPr>
      <w:drawing>
        <wp:anchor distT="0" distB="0" distL="114300" distR="114300" simplePos="0" relativeHeight="251666432" behindDoc="0" locked="0" layoutInCell="1" allowOverlap="1" wp14:anchorId="55896CB0" wp14:editId="38BDF289">
          <wp:simplePos x="0" y="0"/>
          <wp:positionH relativeFrom="column">
            <wp:posOffset>3463290</wp:posOffset>
          </wp:positionH>
          <wp:positionV relativeFrom="paragraph">
            <wp:posOffset>76200</wp:posOffset>
          </wp:positionV>
          <wp:extent cx="2657475" cy="557060"/>
          <wp:effectExtent l="0" t="0" r="0" b="0"/>
          <wp:wrapSquare wrapText="bothSides"/>
          <wp:docPr id="2110708916" name="Immagine 1" descr="Immagine che contiene Elementi grafici, Carattere, schermata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708916" name="Immagine 1" descr="Immagine che contiene Elementi grafici, Carattere, schermata, grafica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55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6DC7">
      <w:rPr>
        <w:b/>
        <w:color w:val="2F6DD5"/>
        <w:sz w:val="16"/>
        <w:szCs w:val="16"/>
        <w:lang w:val="it-IT"/>
      </w:rPr>
      <w:t>Ufficio Stampa</w:t>
    </w:r>
  </w:p>
  <w:p w14:paraId="35F50395" w14:textId="54DD68FF" w:rsidR="00732A46" w:rsidRDefault="00732A46">
    <w:pPr>
      <w:spacing w:line="240" w:lineRule="auto"/>
      <w:rPr>
        <w:b/>
        <w:color w:val="2F6DD5"/>
        <w:sz w:val="20"/>
        <w:szCs w:val="20"/>
        <w:lang w:val="it-IT"/>
      </w:rPr>
    </w:pPr>
  </w:p>
  <w:p w14:paraId="7AA5F527" w14:textId="47D650CD" w:rsidR="00732A46" w:rsidRDefault="00732A46">
    <w:pPr>
      <w:spacing w:line="240" w:lineRule="auto"/>
      <w:rPr>
        <w:b/>
        <w:color w:val="2F6DD5"/>
        <w:sz w:val="20"/>
        <w:szCs w:val="20"/>
        <w:lang w:val="it-IT"/>
      </w:rPr>
    </w:pPr>
  </w:p>
  <w:p w14:paraId="51D48D76" w14:textId="3B624DEE" w:rsidR="00732A46" w:rsidRDefault="00732A46" w:rsidP="00732A46">
    <w:pPr>
      <w:spacing w:line="240" w:lineRule="auto"/>
      <w:ind w:left="1134"/>
      <w:rPr>
        <w:b/>
        <w:color w:val="2F6DD5"/>
        <w:sz w:val="20"/>
        <w:szCs w:val="20"/>
        <w:lang w:val="it-IT"/>
      </w:rPr>
    </w:pPr>
    <w:r w:rsidRPr="00BA6FA4">
      <w:rPr>
        <w:b/>
        <w:color w:val="2F6DD5"/>
        <w:sz w:val="20"/>
        <w:szCs w:val="20"/>
        <w:lang w:val="it-IT"/>
      </w:rPr>
      <w:t>Comunicato Stampa</w:t>
    </w:r>
  </w:p>
  <w:p w14:paraId="669D70C2" w14:textId="7EACD4C6" w:rsidR="00CB5FB1" w:rsidRPr="00BA6FA4" w:rsidRDefault="00CB5FB1" w:rsidP="00CB5FB1">
    <w:pPr>
      <w:spacing w:line="240" w:lineRule="auto"/>
      <w:rPr>
        <w:b/>
        <w:color w:val="2F6DD5"/>
        <w:sz w:val="20"/>
        <w:szCs w:val="20"/>
      </w:rPr>
    </w:pPr>
    <w:r>
      <w:rPr>
        <w:b/>
        <w:color w:val="2F6DD5"/>
        <w:sz w:val="20"/>
        <w:szCs w:val="20"/>
      </w:rPr>
      <w:t xml:space="preserve"> INPS </w:t>
    </w:r>
    <w:r w:rsidR="003F1C00">
      <w:rPr>
        <w:b/>
        <w:color w:val="2F6DD5"/>
        <w:sz w:val="20"/>
        <w:szCs w:val="20"/>
      </w:rPr>
      <w:t>COMUNICA</w:t>
    </w:r>
    <w:r>
      <w:rPr>
        <w:b/>
        <w:color w:val="2F6DD5"/>
        <w:sz w:val="20"/>
        <w:szCs w:val="20"/>
      </w:rPr>
      <w:t xml:space="preserve"> </w:t>
    </w:r>
  </w:p>
  <w:p w14:paraId="4554756F" w14:textId="76D289BC" w:rsidR="00435D5F" w:rsidRPr="00BA6FA4" w:rsidRDefault="00435D5F" w:rsidP="00732A46">
    <w:pPr>
      <w:spacing w:line="240" w:lineRule="auto"/>
      <w:ind w:left="1134"/>
      <w:rPr>
        <w:b/>
        <w:color w:val="2F6DD5"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E007C"/>
    <w:multiLevelType w:val="hybridMultilevel"/>
    <w:tmpl w:val="A3324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43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E2"/>
    <w:rsid w:val="000006B3"/>
    <w:rsid w:val="0001275D"/>
    <w:rsid w:val="0001353C"/>
    <w:rsid w:val="00016581"/>
    <w:rsid w:val="00032B63"/>
    <w:rsid w:val="00037765"/>
    <w:rsid w:val="000748F6"/>
    <w:rsid w:val="00086A3C"/>
    <w:rsid w:val="00096915"/>
    <w:rsid w:val="000C7A17"/>
    <w:rsid w:val="000E5B55"/>
    <w:rsid w:val="00112BE6"/>
    <w:rsid w:val="00133F86"/>
    <w:rsid w:val="001527D1"/>
    <w:rsid w:val="001C3F68"/>
    <w:rsid w:val="001D3ADF"/>
    <w:rsid w:val="00216C2A"/>
    <w:rsid w:val="002362D1"/>
    <w:rsid w:val="002473D0"/>
    <w:rsid w:val="00261FF2"/>
    <w:rsid w:val="002A129F"/>
    <w:rsid w:val="002B7614"/>
    <w:rsid w:val="002C3F28"/>
    <w:rsid w:val="002E6C22"/>
    <w:rsid w:val="00325211"/>
    <w:rsid w:val="0033540E"/>
    <w:rsid w:val="00364AC2"/>
    <w:rsid w:val="00371C15"/>
    <w:rsid w:val="00376467"/>
    <w:rsid w:val="003F1C00"/>
    <w:rsid w:val="00435D5F"/>
    <w:rsid w:val="00485F99"/>
    <w:rsid w:val="00491E7C"/>
    <w:rsid w:val="004A6BEC"/>
    <w:rsid w:val="004B08A8"/>
    <w:rsid w:val="005075FC"/>
    <w:rsid w:val="00507C5A"/>
    <w:rsid w:val="0056371B"/>
    <w:rsid w:val="005879E0"/>
    <w:rsid w:val="005962D0"/>
    <w:rsid w:val="005D220D"/>
    <w:rsid w:val="00603960"/>
    <w:rsid w:val="0063106C"/>
    <w:rsid w:val="00633844"/>
    <w:rsid w:val="0066025F"/>
    <w:rsid w:val="00684AC9"/>
    <w:rsid w:val="006941AC"/>
    <w:rsid w:val="006971E9"/>
    <w:rsid w:val="006A47DF"/>
    <w:rsid w:val="006B7C8D"/>
    <w:rsid w:val="006D20A2"/>
    <w:rsid w:val="006F2435"/>
    <w:rsid w:val="00704AD2"/>
    <w:rsid w:val="00713E3B"/>
    <w:rsid w:val="00726B5F"/>
    <w:rsid w:val="00732A46"/>
    <w:rsid w:val="00776550"/>
    <w:rsid w:val="007B543E"/>
    <w:rsid w:val="007C3E34"/>
    <w:rsid w:val="007C520C"/>
    <w:rsid w:val="007F2B37"/>
    <w:rsid w:val="007F3F12"/>
    <w:rsid w:val="007F49CB"/>
    <w:rsid w:val="008272D3"/>
    <w:rsid w:val="0083056E"/>
    <w:rsid w:val="00845DAA"/>
    <w:rsid w:val="00861F40"/>
    <w:rsid w:val="00873BA2"/>
    <w:rsid w:val="00885315"/>
    <w:rsid w:val="008E6F8D"/>
    <w:rsid w:val="00913E37"/>
    <w:rsid w:val="009C1353"/>
    <w:rsid w:val="00A51F20"/>
    <w:rsid w:val="00A814F9"/>
    <w:rsid w:val="00AA6B07"/>
    <w:rsid w:val="00AB578E"/>
    <w:rsid w:val="00AC6C82"/>
    <w:rsid w:val="00AE5335"/>
    <w:rsid w:val="00B521EF"/>
    <w:rsid w:val="00B55CF6"/>
    <w:rsid w:val="00B77FC3"/>
    <w:rsid w:val="00BA6FA4"/>
    <w:rsid w:val="00BB768B"/>
    <w:rsid w:val="00BF6DC7"/>
    <w:rsid w:val="00C013AD"/>
    <w:rsid w:val="00C20E4E"/>
    <w:rsid w:val="00C2622A"/>
    <w:rsid w:val="00C42AE2"/>
    <w:rsid w:val="00C569C3"/>
    <w:rsid w:val="00CB5FB1"/>
    <w:rsid w:val="00CB6580"/>
    <w:rsid w:val="00CD3076"/>
    <w:rsid w:val="00D01E8F"/>
    <w:rsid w:val="00D03AF3"/>
    <w:rsid w:val="00D066D2"/>
    <w:rsid w:val="00D11E9A"/>
    <w:rsid w:val="00D20DBB"/>
    <w:rsid w:val="00D7290B"/>
    <w:rsid w:val="00D92D88"/>
    <w:rsid w:val="00DB6F28"/>
    <w:rsid w:val="00DD53ED"/>
    <w:rsid w:val="00E02D82"/>
    <w:rsid w:val="00E07B05"/>
    <w:rsid w:val="00E67638"/>
    <w:rsid w:val="00E86975"/>
    <w:rsid w:val="00E87291"/>
    <w:rsid w:val="00EA3088"/>
    <w:rsid w:val="00EB0145"/>
    <w:rsid w:val="00F21B87"/>
    <w:rsid w:val="00F601D7"/>
    <w:rsid w:val="00F6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0CBDF"/>
  <w15:docId w15:val="{BF36F021-F14A-4E78-8967-0FB04F5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styleId="Collegamentoipertestuale">
    <w:name w:val="Hyperlink"/>
    <w:basedOn w:val="Carpredefinitoparagrafo"/>
    <w:uiPriority w:val="99"/>
    <w:unhideWhenUsed/>
    <w:rsid w:val="00732A4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2A4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3AD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3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sorseStumentali.FriuliVeneziaGiulia@inps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inps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E86A312D236D4CA0EB330A8FD1B033" ma:contentTypeVersion="0" ma:contentTypeDescription="Creare un nuovo documento." ma:contentTypeScope="" ma:versionID="89db6056ab5b9a664f05171364a58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89a066b76466d005f2fb2753299167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internalName="PublishingStartDate">
      <xsd:simpleType>
        <xsd:restriction base="dms:Unknown"/>
      </xsd:simpleType>
    </xsd:element>
    <xsd:element name="PublishingExpirationDate" ma:index="9" nillable="true" ma:displayName="Data fine pianificazion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qDEDBSYaNdTFFd+OPjFyDMMs4Q==">AMUW2mXAK83Ph0bvl0ZIEbOLuWd6IwUd8UU32Q898FlIWky0SldcA0ZCLQIv1x1Br511T5KGBd4Sn7l7xgReGBmoAjPvdv71A2Otb82xnG0gwVFZOMf5bao=</go:docsCustomData>
</go:gDocsCustomXmlDataStorage>
</file>

<file path=customXml/itemProps1.xml><?xml version="1.0" encoding="utf-8"?>
<ds:datastoreItem xmlns:ds="http://schemas.openxmlformats.org/officeDocument/2006/customXml" ds:itemID="{5073BEF2-E889-49FC-91BE-6AAE60109F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ED1B9D-4B83-4BBE-8A3D-0EFD62EE7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5A3D13-000E-42F6-BD38-F25869737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AAA5B-3350-4257-A6B9-259FA21CE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I.N.P.S. - Office 365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Grassi Giacomo</dc:creator>
  <cp:lastModifiedBy>Terradura Alessandro</cp:lastModifiedBy>
  <cp:revision>8</cp:revision>
  <cp:lastPrinted>2026-05-11T07:45:00Z</cp:lastPrinted>
  <dcterms:created xsi:type="dcterms:W3CDTF">2026-05-27T08:01:00Z</dcterms:created>
  <dcterms:modified xsi:type="dcterms:W3CDTF">2026-05-27T09:47:00Z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0x010100D9E86A312D236D4CA0EB330A8FD1B033</vt:lpwstr>
  </property>
</Properties>
</file>