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Override+xml" PartName="/word/theme/themeOverride2.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sx120i1jx269" w:id="0"/>
      <w:bookmarkEnd w:id="0"/>
      <w:r w:rsidDel="00000000" w:rsidR="00000000" w:rsidRPr="00000000">
        <w:rPr>
          <w:rtl w:val="0"/>
        </w:rPr>
        <w:t xml:space="preserve">Comunicato stampa</w:t>
      </w:r>
    </w:p>
    <w:p w:rsidR="00000000" w:rsidDel="00000000" w:rsidP="00000000" w:rsidRDefault="00000000" w:rsidRPr="00000000" w14:paraId="00000002">
      <w:pPr>
        <w:spacing w:after="0" w:before="0" w:lineRule="auto"/>
        <w:jc w:val="left"/>
        <w:rPr>
          <w:rFonts w:ascii="Times New Roman" w:cs="Times New Roman" w:eastAsia="Times New Roman" w:hAnsi="Times New Roman"/>
          <w:sz w:val="24"/>
          <w:szCs w:val="24"/>
        </w:rPr>
      </w:pPr>
      <w:r w:rsidDel="00000000" w:rsidR="00000000" w:rsidRPr="00000000">
        <w:rPr>
          <w:color w:val="000000"/>
          <w:sz w:val="36"/>
          <w:szCs w:val="36"/>
          <w:rtl w:val="0"/>
        </w:rPr>
        <w:t xml:space="preserve">L’imprenditoria femminile a Bergamo: un 2025 di crescita e trasformazione</w:t>
      </w:r>
      <w:r w:rsidDel="00000000" w:rsidR="00000000" w:rsidRPr="00000000">
        <w:rPr>
          <w:rtl w:val="0"/>
        </w:rPr>
      </w:r>
    </w:p>
    <w:p w:rsidR="00000000" w:rsidDel="00000000" w:rsidP="00000000" w:rsidRDefault="00000000" w:rsidRPr="00000000" w14:paraId="00000003">
      <w:pPr>
        <w:spacing w:after="0" w:before="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before="0" w:lineRule="auto"/>
        <w:jc w:val="left"/>
        <w:rPr>
          <w:rFonts w:ascii="Times New Roman" w:cs="Times New Roman" w:eastAsia="Times New Roman" w:hAnsi="Times New Roman"/>
          <w:sz w:val="24"/>
          <w:szCs w:val="24"/>
        </w:rPr>
      </w:pPr>
      <w:r w:rsidDel="00000000" w:rsidR="00000000" w:rsidRPr="00000000">
        <w:rPr>
          <w:color w:val="000000"/>
          <w:sz w:val="24"/>
          <w:szCs w:val="24"/>
          <w:rtl w:val="0"/>
        </w:rPr>
        <w:t xml:space="preserve">Oltre 17.000 imprese guidate da donne, in trend positivo da quattro anni: volano i servizi.</w:t>
        <w:br w:type="textWrapping"/>
        <w:t xml:space="preserve">Resta ancora contenuta la presenza femminile nei ruoli di vertice</w:t>
      </w:r>
      <w:r w:rsidDel="00000000" w:rsidR="00000000" w:rsidRPr="00000000">
        <w:rPr>
          <w:rtl w:val="0"/>
        </w:rPr>
      </w:r>
    </w:p>
    <w:p w:rsidR="00000000" w:rsidDel="00000000" w:rsidP="00000000" w:rsidRDefault="00000000" w:rsidRPr="00000000" w14:paraId="00000005">
      <w:pPr>
        <w:spacing w:after="0" w:before="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00" w:before="0" w:lineRule="auto"/>
        <w:rPr>
          <w:rFonts w:ascii="Times New Roman" w:cs="Times New Roman" w:eastAsia="Times New Roman" w:hAnsi="Times New Roman"/>
          <w:sz w:val="24"/>
          <w:szCs w:val="24"/>
        </w:rPr>
      </w:pPr>
      <w:r w:rsidDel="00000000" w:rsidR="00000000" w:rsidRPr="00000000">
        <w:rPr>
          <w:color w:val="000000"/>
          <w:rtl w:val="0"/>
        </w:rPr>
        <w:t xml:space="preserve">Al 31 dicembre 2025 sono 17.478 le imprese femminili attive in provincia di Bergamo, ossia le realtà in cui la presenza di donne negli organi di controllo e nelle quote di proprietà supera complessivamente il 50%. </w:t>
      </w:r>
      <w:r w:rsidDel="00000000" w:rsidR="00000000" w:rsidRPr="00000000">
        <w:rPr>
          <w:b w:val="1"/>
          <w:bCs w:val="1"/>
          <w:color w:val="000000"/>
          <w:rtl w:val="0"/>
        </w:rPr>
        <w:t xml:space="preserve">Oltre un’impresa bergamasca su cinque è guidata da donne</w:t>
      </w:r>
      <w:r w:rsidDel="00000000" w:rsidR="00000000" w:rsidRPr="00000000">
        <w:rPr>
          <w:color w:val="000000"/>
          <w:rtl w:val="0"/>
        </w:rPr>
        <w:t xml:space="preserve">, dato in linea con quello regionale e nazionale. </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color w:val="000000"/>
          <w:rtl w:val="0"/>
        </w:rPr>
        <w:t xml:space="preserve">Il 2025 si chiude con un </w:t>
      </w:r>
      <w:r w:rsidDel="00000000" w:rsidR="00000000" w:rsidRPr="00000000">
        <w:rPr>
          <w:b w:val="1"/>
          <w:bCs w:val="1"/>
          <w:color w:val="000000"/>
          <w:rtl w:val="0"/>
        </w:rPr>
        <w:t xml:space="preserve">risultato positivo per l’imprenditoria femminile</w:t>
      </w:r>
      <w:r w:rsidDel="00000000" w:rsidR="00000000" w:rsidRPr="00000000">
        <w:rPr>
          <w:color w:val="000000"/>
          <w:rtl w:val="0"/>
        </w:rPr>
        <w:t xml:space="preserve">, il saldo tra iscrizioni e cessazioni è pari a +78 imprese, un dato che supera le 200 unità se si considerano esclusivamente le cessazioni non d’ufficio. Il risultato deriva da 1.392 nuove iscrizioni a fronte di 1.314 cessazioni complessive. Si tratta di un trend di crescita che si consolida a partire dal 2022 e che trova un’ulteriore accelerazione tra il 2024 e il 2025, con un incremento delle consistenze pari allo 0,8%.</w:t>
      </w:r>
      <w:r w:rsidDel="00000000" w:rsidR="00000000" w:rsidRPr="00000000">
        <w:rPr>
          <w:rtl w:val="0"/>
        </w:rPr>
      </w:r>
    </w:p>
    <w:p w:rsidR="00000000" w:rsidDel="00000000" w:rsidP="00000000" w:rsidRDefault="00000000" w:rsidRPr="00000000" w14:paraId="00000008">
      <w:pPr>
        <w:spacing w:after="200" w:before="0" w:lineRule="auto"/>
        <w:rPr>
          <w:color w:val="000000"/>
        </w:rPr>
      </w:pPr>
      <w:r w:rsidDel="00000000" w:rsidR="00000000" w:rsidRPr="00000000">
        <w:rPr>
          <w:color w:val="000000"/>
          <w:rtl w:val="0"/>
        </w:rPr>
        <w:t xml:space="preserve">Nel corso del 2025 </w:t>
      </w:r>
      <w:r w:rsidDel="00000000" w:rsidR="00000000" w:rsidRPr="00000000">
        <w:rPr>
          <w:b w:val="1"/>
          <w:bCs w:val="1"/>
          <w:color w:val="000000"/>
          <w:rtl w:val="0"/>
        </w:rPr>
        <w:t xml:space="preserve">le imprese femminili attive crescono a un tasso del +0,45%</w:t>
      </w:r>
      <w:r w:rsidDel="00000000" w:rsidR="00000000" w:rsidRPr="00000000">
        <w:rPr>
          <w:color w:val="000000"/>
          <w:rtl w:val="0"/>
        </w:rPr>
        <w:t xml:space="preserve">, in aumento rispetto al +0,07% registrato nel 2024. L’area più dinamica è quella urbana (+1,2%), che segna un’inversione di tendenza rispetto alla crescita nulla dell’anno precedente: la città di Bergamo conta 3.242 imprese e un saldo positivo di 62 unità, seguita da Seriate (281 imprese, +1) e Alzano Lombardo (183, -3). Al secondo posto la pianura (+0,3%), anch’essa tornata positiva, con in testa Treviglio (565 imprese, -8), Romano di Lombardia (324, -1), Dalmine (281, +4) e Caravaggio (243, +5). Cresce anche la collina (+0,3%), trainata da Sarnico (208 imprese, -7), Costa Volpino (176, +5) e Castelli Calepio (175, +3). L’unica zona in flessione è quella montana (-0,8%), dopo il risultato positivo del 2024, dove Albino (266 imprese, saldo invariato) e Clusone (183, +10) sono i comuni con più imprese.  </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color w:val="000000"/>
          <w:rtl w:val="0"/>
        </w:rPr>
        <w:t xml:space="preserve">Per quanto riguarda i </w:t>
      </w:r>
      <w:r w:rsidDel="00000000" w:rsidR="00000000" w:rsidRPr="00000000">
        <w:rPr>
          <w:b w:val="1"/>
          <w:bCs w:val="1"/>
          <w:color w:val="000000"/>
          <w:rtl w:val="0"/>
        </w:rPr>
        <w:t xml:space="preserve">settori economici dell’imprenditoria femminile</w:t>
      </w:r>
      <w:r w:rsidDel="00000000" w:rsidR="00000000" w:rsidRPr="00000000">
        <w:rPr>
          <w:color w:val="000000"/>
          <w:rtl w:val="0"/>
        </w:rPr>
        <w:t xml:space="preserve">, rispetto al 2024 si registra un ulteriore rafforzamento dei servizi, che si confermano il comparto prevalente. Al contrario, risultano in diminuzione il commercio, le costruzioni, la manifattura e l’agricoltura. </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color w:val="000000"/>
          <w:rtl w:val="0"/>
        </w:rPr>
        <w:t xml:space="preserve">Nel dettaglio, in termini di peso percentuale, le crescite più significative si osservano nelle attività immobiliari (+7,7%), nelle attività professionali, scientifiche e tecniche (+6,3%), nelle altre attività di servizi (+5,5%) e nelle attività finanziarie e assicurative (+4,6%). In lieve aumento anche le attività amministrative e i servizi di supporto (+2,4%) e i servizi di alloggio e ristorazione (+1,4%). Le flessioni più marcate interessano invece le costruzioni (-11,9%), la manifattura (-4,7%), il commercio (-3,5%) e l’agricoltura (-1,5%).</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color w:val="000000"/>
          <w:rtl w:val="0"/>
        </w:rPr>
        <w:t xml:space="preserve">Quanto alle </w:t>
      </w:r>
      <w:r w:rsidDel="00000000" w:rsidR="00000000" w:rsidRPr="00000000">
        <w:rPr>
          <w:b w:val="1"/>
          <w:bCs w:val="1"/>
          <w:color w:val="000000"/>
          <w:rtl w:val="0"/>
        </w:rPr>
        <w:t xml:space="preserve">forme giuridiche</w:t>
      </w:r>
      <w:r w:rsidDel="00000000" w:rsidR="00000000" w:rsidRPr="00000000">
        <w:rPr>
          <w:color w:val="000000"/>
          <w:rtl w:val="0"/>
        </w:rPr>
        <w:t xml:space="preserve">, le imprese individuali si confermano la tipologia prevalente, in linea con il totale delle imprese. Seguono le società di capitali, le società di persone, le cooperative, le altre forme e i consorzi. Rispetto al 2024, si registra una crescita delle società di capitali (+1,5%) e delle imprese individuali (+0,7%). In flessione, invece, le società di persone (-2,6%), le cooperative (-9,1%) e i consorzi (-12,5%).</w:t>
      </w: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color w:val="000000"/>
          <w:rtl w:val="0"/>
        </w:rPr>
        <w:t xml:space="preserve">Nel 2025, tra le imprese femminili, il 77,8% è a partecipazione esclusiva di donne, registrando un lieve aumento rispetto all’anno precedente. Il 17,1% presenta una forte partecipazione femminile, ovvero una quota uguale o maggiore del 60% di socie o amministratrici, mentre il restante 5,1% sono imprese a partecipazione maggioritaria femminile. </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color w:val="000000"/>
          <w:rtl w:val="0"/>
        </w:rPr>
        <w:t xml:space="preserve">Quanto alla presenza femminile in ruoli di controllo e gestione all’interno dell’insieme delle imprese bergamasche, su un totale di 131.751 persone che ricoprono cariche e qualifiche attive a fine 2025, solo il 27% (ovvero 35.645) erano donne. </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color w:val="000000"/>
          <w:rtl w:val="0"/>
        </w:rPr>
        <w:t xml:space="preserve">Il </w:t>
      </w:r>
      <w:r w:rsidDel="00000000" w:rsidR="00000000" w:rsidRPr="00000000">
        <w:rPr>
          <w:b w:val="1"/>
          <w:bCs w:val="1"/>
          <w:color w:val="000000"/>
          <w:rtl w:val="0"/>
        </w:rPr>
        <w:t xml:space="preserve">comparto artigiano femminile</w:t>
      </w:r>
      <w:r w:rsidDel="00000000" w:rsidR="00000000" w:rsidRPr="00000000">
        <w:rPr>
          <w:color w:val="000000"/>
          <w:rtl w:val="0"/>
        </w:rPr>
        <w:t xml:space="preserve">, nel 2025, conta 4.877 imprese attive, registrando un lieve aumento (+0,3%) rispetto al 2024. La maggior concentrazione si osserva nelle altre attività di servizi (2.652 unità), seguite dalle attività manifatturiere (960), dalle attività amministrative e di supporto (383) e dalle costruzioni (228). </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color w:val="000000"/>
          <w:rtl w:val="0"/>
        </w:rPr>
        <w:t xml:space="preserve">Le </w:t>
      </w:r>
      <w:r w:rsidDel="00000000" w:rsidR="00000000" w:rsidRPr="00000000">
        <w:rPr>
          <w:b w:val="1"/>
          <w:bCs w:val="1"/>
          <w:color w:val="000000"/>
          <w:rtl w:val="0"/>
        </w:rPr>
        <w:t xml:space="preserve">imprese giovanili femminili</w:t>
      </w:r>
      <w:r w:rsidDel="00000000" w:rsidR="00000000" w:rsidRPr="00000000">
        <w:rPr>
          <w:color w:val="000000"/>
          <w:rtl w:val="0"/>
        </w:rPr>
        <w:t xml:space="preserve"> raggiungono 2.093 unità attive, stabili rispetto all’anno precedente. La maggiore concentrazione si ha nelle altre attività di servizi (582), nel commercio all’ingrosso e al dettaglio (388) e nei servizi di alloggio e ristorazione (250). Le </w:t>
      </w:r>
      <w:r w:rsidDel="00000000" w:rsidR="00000000" w:rsidRPr="00000000">
        <w:rPr>
          <w:b w:val="1"/>
          <w:bCs w:val="1"/>
          <w:color w:val="000000"/>
          <w:rtl w:val="0"/>
        </w:rPr>
        <w:t xml:space="preserve">imprese straniere femminili</w:t>
      </w:r>
      <w:r w:rsidDel="00000000" w:rsidR="00000000" w:rsidRPr="00000000">
        <w:rPr>
          <w:color w:val="000000"/>
          <w:rtl w:val="0"/>
        </w:rPr>
        <w:t xml:space="preserve"> ammontano a 2.379 unità attive, segnando un significativo incremento (+4,5%) rispetto al 2024. La concentrazione più alta si registra nel commercio all’ingrosso e al dettaglio (591), nei servizi di alloggio e ristorazione (426) e nelle altre attività di servizi (415). Sul totale delle imprese straniere femminili, la maggioranza è extra U.E. (81,3%), mentre il restante 18,7% proviene da Paesi comunitari. I primi cinque Paesi più frequenti in cui sono nate le imprenditrici individuali bergamasche straniere sono Cina, Romania, Marocco, Albania e India.</w:t>
      </w:r>
      <w:r w:rsidDel="00000000" w:rsidR="00000000" w:rsidRPr="00000000">
        <w:rPr>
          <w:rtl w:val="0"/>
        </w:rPr>
      </w:r>
    </w:p>
    <w:p w:rsidR="00000000" w:rsidDel="00000000" w:rsidP="00000000" w:rsidRDefault="00000000" w:rsidRPr="00000000" w14:paraId="00000010">
      <w:pPr>
        <w:spacing w:after="200" w:before="0" w:lineRule="auto"/>
        <w:rPr>
          <w:rFonts w:ascii="Times New Roman" w:cs="Times New Roman" w:eastAsia="Times New Roman" w:hAnsi="Times New Roman"/>
          <w:strike w:val="1"/>
          <w:sz w:val="24"/>
          <w:szCs w:val="24"/>
        </w:rPr>
      </w:pPr>
      <w:r w:rsidDel="00000000" w:rsidR="00000000" w:rsidRPr="00000000">
        <w:rPr>
          <w:b w:val="1"/>
          <w:bCs w:val="1"/>
          <w:color w:val="222222"/>
          <w:rtl w:val="0"/>
        </w:rPr>
        <w:t xml:space="preserve">Commenta il segretario generale della Camera di commercio M. Paola Esposito:</w:t>
      </w:r>
      <w:r w:rsidDel="00000000" w:rsidR="00000000" w:rsidRPr="00000000">
        <w:rPr>
          <w:color w:val="222222"/>
          <w:rtl w:val="0"/>
        </w:rPr>
        <w:t xml:space="preserve"> </w:t>
      </w:r>
      <w:r w:rsidDel="00000000" w:rsidR="00000000" w:rsidRPr="00000000">
        <w:rPr>
          <w:i w:val="1"/>
          <w:iCs w:val="1"/>
          <w:color w:val="222222"/>
          <w:rtl w:val="0"/>
        </w:rPr>
        <w:t xml:space="preserve">“L’imprenditoria femminile a Bergamo non è solo una realtà consolidata, ma un vero motore di rinnovamento per l’economia locale. La crescita avviata nel 2022 evidenzia la capacità delle oltre 17.000 imprese guidate da donne di adattarsi ai cambiamenti del mercato, con una presenza sempre più significativa nei servizi professionali e nelle attività finanziarie. </w:t>
      </w:r>
      <w:r w:rsidDel="00000000" w:rsidR="00000000" w:rsidRPr="00000000">
        <w:rPr>
          <w:i w:val="1"/>
          <w:iCs w:val="1"/>
          <w:rtl w:val="0"/>
        </w:rPr>
        <w:t xml:space="preserve">A fronte di questa vivacità imprenditoriale, resta ancora contenuta la presenza femminile nei ruoli di vertice del sistema produttivo. La strada per una piena rappresentanza nelle posizioni di controllo e gestione aziendale richiede ancora impegno verso il superamento di impostazioni tradizionali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spacing w:after="200" w:before="0" w:lineRule="auto"/>
        <w:rPr>
          <w:rFonts w:ascii="Times New Roman" w:cs="Times New Roman" w:eastAsia="Times New Roman" w:hAnsi="Times New Roman"/>
          <w:sz w:val="24"/>
          <w:szCs w:val="24"/>
        </w:rPr>
      </w:pPr>
      <w:bookmarkStart w:colFirst="0" w:colLast="0" w:name="_heading=h.qzfc8y6e28qy" w:id="1"/>
      <w:bookmarkEnd w:id="1"/>
      <w:r w:rsidDel="00000000" w:rsidR="00000000" w:rsidRPr="00000000">
        <w:rPr>
          <w:color w:val="222222"/>
          <w:rtl w:val="0"/>
        </w:rPr>
        <w:t xml:space="preserve">Dal punto di vista dell’occupazione, i più recenti dati del Sistan riferiti al 2022 mostrano che in provincia di Bergamo negli studi medici e odontoiatrici, negli studi legali, e nei servizi veterinari si riscontra la maggiore intensità femminile sul totale dei dipendenti, con valori al di sopra del 90%.</w:t>
      </w:r>
      <w:r w:rsidDel="00000000" w:rsidR="00000000" w:rsidRPr="00000000">
        <w:rPr>
          <w:rtl w:val="0"/>
        </w:rPr>
      </w:r>
    </w:p>
    <w:p w:rsidR="00000000" w:rsidDel="00000000" w:rsidP="00000000" w:rsidRDefault="00000000" w:rsidRPr="00000000" w14:paraId="00000012">
      <w:pPr>
        <w:spacing w:after="200" w:before="0" w:lineRule="auto"/>
        <w:rPr>
          <w:rFonts w:ascii="Times New Roman" w:cs="Times New Roman" w:eastAsia="Times New Roman" w:hAnsi="Times New Roman"/>
          <w:sz w:val="24"/>
          <w:szCs w:val="24"/>
        </w:rPr>
      </w:pPr>
      <w:r w:rsidDel="00000000" w:rsidR="00000000" w:rsidRPr="00000000">
        <w:rPr>
          <w:color w:val="222222"/>
          <w:rtl w:val="0"/>
        </w:rPr>
        <w:t xml:space="preserve">Oltre il 70% delle donne dipendenti sono occupate in cinque sezioni di attività: manifatturiere, commercio all’ingrosso e al dettaglio, noleggio e agenzie di viaggio, alloggio e ristorazione e sanità e assistenza sociale.</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color w:val="000000"/>
          <w:rtl w:val="0"/>
        </w:rPr>
        <w:t xml:space="preserve">Bergamo, 6 marzo 2026</w:t>
      </w:r>
      <w:r w:rsidDel="00000000" w:rsidR="00000000" w:rsidRPr="00000000">
        <w:rPr>
          <w:rtl w:val="0"/>
        </w:rPr>
      </w:r>
    </w:p>
    <w:p w:rsidR="00000000" w:rsidDel="00000000" w:rsidP="00000000" w:rsidRDefault="00000000" w:rsidRPr="00000000" w14:paraId="00000014">
      <w:pPr>
        <w:spacing w:after="0" w:before="0" w:line="276" w:lineRule="auto"/>
        <w:rPr>
          <w:b w:val="1"/>
          <w:bCs w:val="1"/>
        </w:rPr>
      </w:pPr>
      <w:r w:rsidDel="00000000" w:rsidR="00000000" w:rsidRPr="00000000">
        <w:rPr>
          <w:rtl w:val="0"/>
        </w:rPr>
      </w:r>
    </w:p>
    <w:p w:rsidR="00000000" w:rsidDel="00000000" w:rsidP="00000000" w:rsidRDefault="00000000" w:rsidRPr="00000000" w14:paraId="00000015">
      <w:pPr>
        <w:spacing w:after="0" w:before="0" w:line="276" w:lineRule="auto"/>
        <w:rPr>
          <w:b w:val="1"/>
          <w:bCs w:val="1"/>
        </w:rPr>
      </w:pPr>
      <w:r w:rsidDel="00000000" w:rsidR="00000000" w:rsidRPr="00000000">
        <w:rPr>
          <w:b w:val="1"/>
          <w:bCs w:val="1"/>
          <w:rtl w:val="0"/>
        </w:rPr>
        <w:t xml:space="preserve">Camera di commercio di Bergamo </w:t>
      </w:r>
    </w:p>
    <w:p w:rsidR="00000000" w:rsidDel="00000000" w:rsidP="00000000" w:rsidRDefault="00000000" w:rsidRPr="00000000" w14:paraId="00000016">
      <w:pPr>
        <w:spacing w:after="0" w:before="0" w:line="276" w:lineRule="auto"/>
        <w:rPr/>
      </w:pPr>
      <w:r w:rsidDel="00000000" w:rsidR="00000000" w:rsidRPr="00000000">
        <w:rPr>
          <w:rtl w:val="0"/>
        </w:rPr>
        <w:t xml:space="preserve">Ufficio Comunicazione</w:t>
      </w:r>
    </w:p>
    <w:p w:rsidR="00000000" w:rsidDel="00000000" w:rsidP="00000000" w:rsidRDefault="00000000" w:rsidRPr="00000000" w14:paraId="00000017">
      <w:pPr>
        <w:spacing w:after="0" w:before="0" w:line="276" w:lineRule="auto"/>
        <w:rPr/>
      </w:pPr>
      <w:bookmarkStart w:colFirst="0" w:colLast="0" w:name="_heading=h.to70ppg70cnb" w:id="2"/>
      <w:bookmarkEnd w:id="2"/>
      <w:r w:rsidDel="00000000" w:rsidR="00000000" w:rsidRPr="00000000">
        <w:rPr>
          <w:rtl w:val="0"/>
        </w:rPr>
        <w:t xml:space="preserve">Tel. 035.4225.245</w:t>
      </w:r>
    </w:p>
    <w:p w:rsidR="00000000" w:rsidDel="00000000" w:rsidP="00000000" w:rsidRDefault="00000000" w:rsidRPr="00000000" w14:paraId="00000018">
      <w:pPr>
        <w:spacing w:after="0" w:before="0" w:line="276" w:lineRule="auto"/>
        <w:rPr>
          <w:sz w:val="14"/>
          <w:szCs w:val="14"/>
        </w:rPr>
      </w:pPr>
      <w:bookmarkStart w:colFirst="0" w:colLast="0" w:name="_heading=h.dbhtv0vharnt" w:id="3"/>
      <w:bookmarkEnd w:id="3"/>
      <w:hyperlink r:id="rId7">
        <w:r w:rsidDel="00000000" w:rsidR="00000000" w:rsidRPr="00000000">
          <w:rPr>
            <w:color w:val="1155cc"/>
            <w:u w:val="single"/>
            <w:rtl w:val="0"/>
          </w:rPr>
          <w:t xml:space="preserve">comunicazione@bg.camcom.it</w:t>
        </w:r>
      </w:hyperlink>
      <w:r w:rsidDel="00000000" w:rsidR="00000000" w:rsidRPr="00000000">
        <w:rPr>
          <w:rtl w:val="0"/>
        </w:rPr>
      </w:r>
    </w:p>
    <w:p w:rsidR="00000000" w:rsidDel="00000000" w:rsidP="00000000" w:rsidRDefault="00000000" w:rsidRPr="00000000" w14:paraId="00000019">
      <w:pPr>
        <w:spacing w:after="0" w:before="0" w:line="276" w:lineRule="auto"/>
        <w:rPr>
          <w:sz w:val="14"/>
          <w:szCs w:val="14"/>
        </w:rPr>
      </w:pPr>
      <w:bookmarkStart w:colFirst="0" w:colLast="0" w:name="_heading=h.251v1zjbp94e" w:id="4"/>
      <w:bookmarkEnd w:id="4"/>
      <w:r w:rsidDel="00000000" w:rsidR="00000000" w:rsidRPr="00000000">
        <w:rPr>
          <w:rtl w:val="0"/>
        </w:rPr>
      </w:r>
    </w:p>
    <w:p w:rsidR="00000000" w:rsidDel="00000000" w:rsidP="00000000" w:rsidRDefault="00000000" w:rsidRPr="00000000" w14:paraId="0000001A">
      <w:pPr>
        <w:spacing w:after="0" w:before="0" w:line="276" w:lineRule="auto"/>
        <w:rPr>
          <w:sz w:val="14"/>
          <w:szCs w:val="14"/>
        </w:rPr>
      </w:pPr>
      <w:bookmarkStart w:colFirst="0" w:colLast="0" w:name="_heading=h.twsmpy1yz85y" w:id="5"/>
      <w:bookmarkEnd w:id="5"/>
      <w:r w:rsidDel="00000000" w:rsidR="00000000" w:rsidRPr="00000000">
        <w:rPr>
          <w:rtl w:val="0"/>
        </w:rPr>
      </w:r>
    </w:p>
    <w:p w:rsidR="00000000" w:rsidDel="00000000" w:rsidP="00000000" w:rsidRDefault="00000000" w:rsidRPr="00000000" w14:paraId="0000001B">
      <w:pPr>
        <w:spacing w:after="0" w:before="0" w:line="276" w:lineRule="auto"/>
        <w:rPr>
          <w:sz w:val="14"/>
          <w:szCs w:val="14"/>
        </w:rPr>
      </w:pPr>
      <w:bookmarkStart w:colFirst="0" w:colLast="0" w:name="_heading=h.rf3kn3rcvtkb" w:id="6"/>
      <w:bookmarkEnd w:id="6"/>
      <w:r w:rsidDel="00000000" w:rsidR="00000000" w:rsidRPr="00000000">
        <w:rPr>
          <w:rtl w:val="0"/>
        </w:rPr>
      </w:r>
    </w:p>
    <w:p w:rsidR="00000000" w:rsidDel="00000000" w:rsidP="00000000" w:rsidRDefault="00000000" w:rsidRPr="00000000" w14:paraId="0000001C">
      <w:pPr>
        <w:spacing w:after="0" w:before="0" w:line="276" w:lineRule="auto"/>
        <w:rPr>
          <w:sz w:val="14"/>
          <w:szCs w:val="14"/>
        </w:rPr>
      </w:pPr>
      <w:bookmarkStart w:colFirst="0" w:colLast="0" w:name="_heading=h.sha2y1gevrim" w:id="7"/>
      <w:bookmarkEnd w:id="7"/>
      <w:r w:rsidDel="00000000" w:rsidR="00000000" w:rsidRPr="00000000">
        <w:rPr>
          <w:rtl w:val="0"/>
        </w:rPr>
      </w:r>
    </w:p>
    <w:p w:rsidR="00000000" w:rsidDel="00000000" w:rsidP="00000000" w:rsidRDefault="00000000" w:rsidRPr="00000000" w14:paraId="0000001D">
      <w:pPr>
        <w:spacing w:after="0" w:before="0" w:line="276" w:lineRule="auto"/>
        <w:rPr>
          <w:sz w:val="14"/>
          <w:szCs w:val="14"/>
        </w:rPr>
      </w:pPr>
      <w:bookmarkStart w:colFirst="0" w:colLast="0" w:name="_heading=h.62xgm97ymuov" w:id="8"/>
      <w:bookmarkEnd w:id="8"/>
      <w:r w:rsidDel="00000000" w:rsidR="00000000" w:rsidRPr="00000000">
        <w:rPr>
          <w:rtl w:val="0"/>
        </w:rPr>
      </w:r>
    </w:p>
    <w:p w:rsidR="00000000" w:rsidDel="00000000" w:rsidP="00000000" w:rsidRDefault="00000000" w:rsidRPr="00000000" w14:paraId="0000001E">
      <w:pPr>
        <w:spacing w:after="0" w:before="0" w:line="276" w:lineRule="auto"/>
        <w:rPr>
          <w:sz w:val="14"/>
          <w:szCs w:val="14"/>
        </w:rPr>
      </w:pPr>
      <w:bookmarkStart w:colFirst="0" w:colLast="0" w:name="_heading=h.cxncfmxohqqx" w:id="9"/>
      <w:bookmarkEnd w:id="9"/>
      <w:r w:rsidDel="00000000" w:rsidR="00000000" w:rsidRPr="00000000">
        <w:rPr>
          <w:rtl w:val="0"/>
        </w:rPr>
      </w:r>
    </w:p>
    <w:p w:rsidR="00000000" w:rsidDel="00000000" w:rsidP="00000000" w:rsidRDefault="00000000" w:rsidRPr="00000000" w14:paraId="0000001F">
      <w:pPr>
        <w:spacing w:after="0" w:before="0" w:line="276" w:lineRule="auto"/>
        <w:rPr>
          <w:sz w:val="14"/>
          <w:szCs w:val="14"/>
        </w:rPr>
      </w:pPr>
      <w:bookmarkStart w:colFirst="0" w:colLast="0" w:name="_heading=h.39rfs8df0d85" w:id="10"/>
      <w:bookmarkEnd w:id="10"/>
      <w:r w:rsidDel="00000000" w:rsidR="00000000" w:rsidRPr="00000000">
        <w:rPr>
          <w:rtl w:val="0"/>
        </w:rPr>
      </w:r>
    </w:p>
    <w:p w:rsidR="00000000" w:rsidDel="00000000" w:rsidP="00000000" w:rsidRDefault="00000000" w:rsidRPr="00000000" w14:paraId="00000020">
      <w:pPr>
        <w:spacing w:after="0" w:before="0" w:line="276" w:lineRule="auto"/>
        <w:rPr>
          <w:sz w:val="14"/>
          <w:szCs w:val="14"/>
        </w:rPr>
      </w:pPr>
      <w:bookmarkStart w:colFirst="0" w:colLast="0" w:name="_heading=h.pzpghqoba73k" w:id="11"/>
      <w:bookmarkEnd w:id="11"/>
      <w:r w:rsidDel="00000000" w:rsidR="00000000" w:rsidRPr="00000000">
        <w:rPr>
          <w:rtl w:val="0"/>
        </w:rPr>
      </w:r>
    </w:p>
    <w:p w:rsidR="00000000" w:rsidDel="00000000" w:rsidP="00000000" w:rsidRDefault="00000000" w:rsidRPr="00000000" w14:paraId="00000021">
      <w:pPr>
        <w:spacing w:after="0" w:before="0" w:line="276" w:lineRule="auto"/>
        <w:rPr>
          <w:sz w:val="14"/>
          <w:szCs w:val="14"/>
        </w:rPr>
      </w:pPr>
      <w:bookmarkStart w:colFirst="0" w:colLast="0" w:name="_heading=h.lma7rngj9r6g" w:id="12"/>
      <w:bookmarkEnd w:id="12"/>
      <w:r w:rsidDel="00000000" w:rsidR="00000000" w:rsidRPr="00000000">
        <w:rPr>
          <w:rtl w:val="0"/>
        </w:rPr>
      </w:r>
    </w:p>
    <w:p w:rsidR="00000000" w:rsidDel="00000000" w:rsidP="00000000" w:rsidRDefault="00000000" w:rsidRPr="00000000" w14:paraId="00000022">
      <w:pPr>
        <w:spacing w:after="0" w:before="0" w:line="276" w:lineRule="auto"/>
        <w:rPr>
          <w:sz w:val="14"/>
          <w:szCs w:val="14"/>
        </w:rPr>
      </w:pPr>
      <w:bookmarkStart w:colFirst="0" w:colLast="0" w:name="_heading=h.s4c5rhmd8gdh" w:id="13"/>
      <w:bookmarkEnd w:id="13"/>
      <w:r w:rsidDel="00000000" w:rsidR="00000000" w:rsidRPr="00000000">
        <w:rPr>
          <w:rtl w:val="0"/>
        </w:rPr>
      </w:r>
    </w:p>
    <w:p w:rsidR="00000000" w:rsidDel="00000000" w:rsidP="00000000" w:rsidRDefault="00000000" w:rsidRPr="00000000" w14:paraId="00000023">
      <w:pPr>
        <w:spacing w:after="0" w:before="0" w:line="276" w:lineRule="auto"/>
        <w:rPr>
          <w:sz w:val="14"/>
          <w:szCs w:val="14"/>
        </w:rPr>
      </w:pPr>
      <w:bookmarkStart w:colFirst="0" w:colLast="0" w:name="_heading=h.niaf2vesl035" w:id="14"/>
      <w:bookmarkEnd w:id="14"/>
      <w:r w:rsidDel="00000000" w:rsidR="00000000" w:rsidRPr="00000000">
        <w:rPr>
          <w:rtl w:val="0"/>
        </w:rPr>
      </w:r>
    </w:p>
    <w:p w:rsidR="00000000" w:rsidDel="00000000" w:rsidP="00000000" w:rsidRDefault="00000000" w:rsidRPr="00000000" w14:paraId="00000024">
      <w:pPr>
        <w:spacing w:after="0" w:before="0" w:line="276" w:lineRule="auto"/>
        <w:rPr>
          <w:sz w:val="14"/>
          <w:szCs w:val="14"/>
        </w:rPr>
      </w:pPr>
      <w:bookmarkStart w:colFirst="0" w:colLast="0" w:name="_heading=h.dkzdzgr5wctv" w:id="15"/>
      <w:bookmarkEnd w:id="15"/>
      <w:r w:rsidDel="00000000" w:rsidR="00000000" w:rsidRPr="00000000">
        <w:rPr>
          <w:rtl w:val="0"/>
        </w:rPr>
      </w:r>
    </w:p>
    <w:p w:rsidR="00000000" w:rsidDel="00000000" w:rsidP="00000000" w:rsidRDefault="00000000" w:rsidRPr="00000000" w14:paraId="00000025">
      <w:pPr>
        <w:spacing w:after="0" w:before="0" w:line="276" w:lineRule="auto"/>
        <w:rPr>
          <w:sz w:val="14"/>
          <w:szCs w:val="14"/>
        </w:rPr>
      </w:pPr>
      <w:bookmarkStart w:colFirst="0" w:colLast="0" w:name="_heading=h.oycv89q52jmg" w:id="16"/>
      <w:bookmarkEnd w:id="16"/>
      <w:r w:rsidDel="00000000" w:rsidR="00000000" w:rsidRPr="00000000">
        <w:rPr>
          <w:rtl w:val="0"/>
        </w:rPr>
      </w:r>
    </w:p>
    <w:p w:rsidR="00000000" w:rsidDel="00000000" w:rsidP="00000000" w:rsidRDefault="00000000" w:rsidRPr="00000000" w14:paraId="00000026">
      <w:pPr>
        <w:spacing w:after="0" w:before="0" w:line="276" w:lineRule="auto"/>
        <w:rPr>
          <w:sz w:val="14"/>
          <w:szCs w:val="14"/>
        </w:rPr>
      </w:pPr>
      <w:bookmarkStart w:colFirst="0" w:colLast="0" w:name="_heading=h.tkfhdy8jdszx" w:id="17"/>
      <w:bookmarkEnd w:id="17"/>
      <w:r w:rsidDel="00000000" w:rsidR="00000000" w:rsidRPr="00000000">
        <w:rPr>
          <w:rtl w:val="0"/>
        </w:rPr>
      </w:r>
    </w:p>
    <w:p w:rsidR="00000000" w:rsidDel="00000000" w:rsidP="00000000" w:rsidRDefault="00000000" w:rsidRPr="00000000" w14:paraId="00000027">
      <w:pPr>
        <w:spacing w:after="0" w:before="0" w:line="276" w:lineRule="auto"/>
        <w:rPr>
          <w:sz w:val="14"/>
          <w:szCs w:val="14"/>
        </w:rPr>
      </w:pPr>
      <w:bookmarkStart w:colFirst="0" w:colLast="0" w:name="_heading=h.yprgg6bjs4lc" w:id="18"/>
      <w:bookmarkEnd w:id="18"/>
      <w:r w:rsidDel="00000000" w:rsidR="00000000" w:rsidRPr="00000000">
        <w:rPr>
          <w:rtl w:val="0"/>
        </w:rPr>
      </w:r>
    </w:p>
    <w:p w:rsidR="00000000" w:rsidDel="00000000" w:rsidP="00000000" w:rsidRDefault="00000000" w:rsidRPr="00000000" w14:paraId="00000028">
      <w:pPr>
        <w:spacing w:after="0" w:before="0" w:line="276" w:lineRule="auto"/>
        <w:rPr>
          <w:sz w:val="14"/>
          <w:szCs w:val="14"/>
        </w:rPr>
      </w:pPr>
      <w:bookmarkStart w:colFirst="0" w:colLast="0" w:name="_heading=h.kxbpncdllqh2" w:id="19"/>
      <w:bookmarkEnd w:id="19"/>
      <w:r w:rsidDel="00000000" w:rsidR="00000000" w:rsidRPr="00000000">
        <w:rPr>
          <w:rtl w:val="0"/>
        </w:rPr>
      </w:r>
    </w:p>
    <w:p w:rsidR="00000000" w:rsidDel="00000000" w:rsidP="00000000" w:rsidRDefault="00000000" w:rsidRPr="00000000" w14:paraId="00000029">
      <w:pPr>
        <w:spacing w:after="0" w:before="0" w:line="276" w:lineRule="auto"/>
        <w:rPr>
          <w:sz w:val="22"/>
          <w:szCs w:val="22"/>
        </w:rPr>
      </w:pPr>
      <w:r w:rsidDel="00000000" w:rsidR="00000000" w:rsidRPr="00000000">
        <w:rPr>
          <w:rtl w:val="0"/>
        </w:rPr>
      </w:r>
    </w:p>
    <w:p w:rsidR="00000000" w:rsidDel="00000000" w:rsidP="00000000" w:rsidRDefault="00000000" w:rsidRPr="00000000" w14:paraId="0000002A">
      <w:pPr>
        <w:spacing w:after="0" w:before="0" w:line="276" w:lineRule="auto"/>
        <w:rPr>
          <w:sz w:val="22"/>
          <w:szCs w:val="22"/>
        </w:rPr>
      </w:pPr>
      <w:r w:rsidDel="00000000" w:rsidR="00000000" w:rsidRPr="00000000">
        <w:rPr>
          <w:rtl w:val="0"/>
        </w:rPr>
      </w:r>
    </w:p>
    <w:p w:rsidR="00000000" w:rsidDel="00000000" w:rsidP="00000000" w:rsidRDefault="00000000" w:rsidRPr="00000000" w14:paraId="0000002B">
      <w:pPr>
        <w:spacing w:after="0" w:before="0" w:line="276" w:lineRule="auto"/>
        <w:rPr>
          <w:sz w:val="22"/>
          <w:szCs w:val="22"/>
        </w:rPr>
      </w:pPr>
      <w:r w:rsidDel="00000000" w:rsidR="00000000" w:rsidRPr="00000000">
        <w:rPr>
          <w:sz w:val="22"/>
          <w:szCs w:val="22"/>
          <w:rtl w:val="0"/>
        </w:rPr>
        <w:t xml:space="preserve">Grafico 1 Sedi di imprese femminili attive</w:t>
      </w:r>
    </w:p>
    <w:p w:rsidR="00000000" w:rsidDel="00000000" w:rsidP="00000000" w:rsidRDefault="00000000" w:rsidRPr="00000000" w14:paraId="0000002C">
      <w:pPr>
        <w:spacing w:after="0" w:before="0" w:line="276" w:lineRule="auto"/>
        <w:rPr>
          <w:sz w:val="16"/>
          <w:szCs w:val="16"/>
        </w:rPr>
      </w:pPr>
      <w:r w:rsidDel="00000000" w:rsidR="00000000" w:rsidRPr="00000000">
        <w:rPr>
          <w:sz w:val="16"/>
          <w:szCs w:val="16"/>
          <w:rtl w:val="0"/>
        </w:rPr>
        <w:t xml:space="preserve">Anni 2014 – 2025</w:t>
      </w:r>
    </w:p>
    <w:p w:rsidR="00000000" w:rsidDel="00000000" w:rsidP="00000000" w:rsidRDefault="00000000" w:rsidRPr="00000000" w14:paraId="0000002D">
      <w:pPr>
        <w:spacing w:after="0" w:before="0" w:line="276" w:lineRule="auto"/>
        <w:rPr>
          <w:sz w:val="16"/>
          <w:szCs w:val="16"/>
        </w:rPr>
      </w:pPr>
      <w:r w:rsidDel="00000000" w:rsidR="00000000" w:rsidRPr="00000000">
        <w:rPr>
          <w:rtl w:val="0"/>
        </w:rPr>
      </w:r>
    </w:p>
    <w:p w:rsidR="00000000" w:rsidDel="00000000" w:rsidP="00000000" w:rsidRDefault="00000000" w:rsidRPr="00000000" w14:paraId="0000002E">
      <w:pPr>
        <w:spacing w:after="0" w:before="0" w:line="276" w:lineRule="auto"/>
        <w:rPr>
          <w:sz w:val="14"/>
          <w:szCs w:val="14"/>
        </w:rPr>
      </w:pPr>
      <w:r w:rsidDel="00000000" w:rsidR="00000000" w:rsidRPr="00000000">
        <w:rPr/>
        <w:drawing>
          <wp:inline distB="0" distT="0" distL="0" distR="0">
            <wp:extent cx="6457950" cy="3048000"/>
            <wp:docPr id="178841800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2F">
      <w:pPr>
        <w:spacing w:after="0" w:before="0" w:line="276" w:lineRule="auto"/>
        <w:rPr>
          <w:sz w:val="12"/>
          <w:szCs w:val="12"/>
        </w:rPr>
      </w:pPr>
      <w:r w:rsidDel="00000000" w:rsidR="00000000" w:rsidRPr="00000000">
        <w:rPr>
          <w:rtl w:val="0"/>
        </w:rPr>
      </w:r>
    </w:p>
    <w:p w:rsidR="00000000" w:rsidDel="00000000" w:rsidP="00000000" w:rsidRDefault="00000000" w:rsidRPr="00000000" w14:paraId="00000030">
      <w:pPr>
        <w:spacing w:after="0" w:before="0" w:line="276" w:lineRule="auto"/>
        <w:rPr>
          <w:sz w:val="12"/>
          <w:szCs w:val="12"/>
        </w:rPr>
      </w:pPr>
      <w:r w:rsidDel="00000000" w:rsidR="00000000" w:rsidRPr="00000000">
        <w:rPr>
          <w:i w:val="1"/>
          <w:iCs w:val="1"/>
          <w:sz w:val="12"/>
          <w:szCs w:val="12"/>
          <w:rtl w:val="0"/>
        </w:rPr>
        <w:t xml:space="preserve">Fonte</w:t>
      </w:r>
      <w:r w:rsidDel="00000000" w:rsidR="00000000" w:rsidRPr="00000000">
        <w:rPr>
          <w:sz w:val="12"/>
          <w:szCs w:val="12"/>
          <w:rtl w:val="0"/>
        </w:rPr>
        <w:t xml:space="preserve">: Infocamere</w:t>
      </w:r>
    </w:p>
    <w:p w:rsidR="00000000" w:rsidDel="00000000" w:rsidP="00000000" w:rsidRDefault="00000000" w:rsidRPr="00000000" w14:paraId="00000031">
      <w:pPr>
        <w:spacing w:after="0" w:before="0" w:line="276" w:lineRule="auto"/>
        <w:rPr>
          <w:sz w:val="12"/>
          <w:szCs w:val="12"/>
        </w:rPr>
      </w:pPr>
      <w:r w:rsidDel="00000000" w:rsidR="00000000" w:rsidRPr="00000000">
        <w:rPr>
          <w:rtl w:val="0"/>
        </w:rPr>
      </w:r>
    </w:p>
    <w:p w:rsidR="00000000" w:rsidDel="00000000" w:rsidP="00000000" w:rsidRDefault="00000000" w:rsidRPr="00000000" w14:paraId="00000032">
      <w:pPr>
        <w:spacing w:after="0" w:before="0" w:line="276" w:lineRule="auto"/>
        <w:rPr>
          <w:sz w:val="22"/>
          <w:szCs w:val="22"/>
        </w:rPr>
      </w:pPr>
      <w:r w:rsidDel="00000000" w:rsidR="00000000" w:rsidRPr="00000000">
        <w:rPr>
          <w:sz w:val="22"/>
          <w:szCs w:val="22"/>
          <w:rtl w:val="0"/>
        </w:rPr>
        <w:t xml:space="preserve">Grafico 2 Iscrizioni e cessazioni delle imprese femminili attive </w:t>
      </w:r>
    </w:p>
    <w:p w:rsidR="00000000" w:rsidDel="00000000" w:rsidP="00000000" w:rsidRDefault="00000000" w:rsidRPr="00000000" w14:paraId="00000033">
      <w:pPr>
        <w:spacing w:after="0" w:before="0" w:line="276" w:lineRule="auto"/>
        <w:rPr>
          <w:sz w:val="16"/>
          <w:szCs w:val="16"/>
        </w:rPr>
      </w:pPr>
      <w:r w:rsidDel="00000000" w:rsidR="00000000" w:rsidRPr="00000000">
        <w:rPr>
          <w:sz w:val="16"/>
          <w:szCs w:val="16"/>
          <w:rtl w:val="0"/>
        </w:rPr>
        <w:t xml:space="preserve">Anni 2014 – 2025</w:t>
      </w:r>
    </w:p>
    <w:p w:rsidR="00000000" w:rsidDel="00000000" w:rsidP="00000000" w:rsidRDefault="00000000" w:rsidRPr="00000000" w14:paraId="00000034">
      <w:pPr>
        <w:spacing w:after="0" w:before="0" w:line="276" w:lineRule="auto"/>
        <w:rPr>
          <w:sz w:val="16"/>
          <w:szCs w:val="16"/>
        </w:rPr>
      </w:pPr>
      <w:r w:rsidDel="00000000" w:rsidR="00000000" w:rsidRPr="00000000">
        <w:rPr>
          <w:rtl w:val="0"/>
        </w:rPr>
      </w:r>
    </w:p>
    <w:p w:rsidR="00000000" w:rsidDel="00000000" w:rsidP="00000000" w:rsidRDefault="00000000" w:rsidRPr="00000000" w14:paraId="00000035">
      <w:pPr>
        <w:spacing w:after="0" w:before="0" w:line="276" w:lineRule="auto"/>
        <w:rPr>
          <w:sz w:val="22"/>
          <w:szCs w:val="22"/>
        </w:rPr>
      </w:pPr>
      <w:r w:rsidDel="00000000" w:rsidR="00000000" w:rsidRPr="00000000">
        <w:rPr/>
        <w:drawing>
          <wp:inline distB="0" distT="0" distL="0" distR="0">
            <wp:extent cx="6457950" cy="3295650"/>
            <wp:docPr id="1788418008"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036">
      <w:pPr>
        <w:spacing w:after="0" w:before="0" w:line="276" w:lineRule="auto"/>
        <w:rPr>
          <w:sz w:val="12"/>
          <w:szCs w:val="12"/>
        </w:rPr>
      </w:pPr>
      <w:r w:rsidDel="00000000" w:rsidR="00000000" w:rsidRPr="00000000">
        <w:rPr>
          <w:rtl w:val="0"/>
        </w:rPr>
      </w:r>
    </w:p>
    <w:p w:rsidR="00000000" w:rsidDel="00000000" w:rsidP="00000000" w:rsidRDefault="00000000" w:rsidRPr="00000000" w14:paraId="00000037">
      <w:pPr>
        <w:spacing w:after="0" w:before="0" w:line="276" w:lineRule="auto"/>
        <w:rPr>
          <w:i w:val="1"/>
          <w:iCs w:val="1"/>
          <w:sz w:val="12"/>
          <w:szCs w:val="12"/>
        </w:rPr>
      </w:pPr>
      <w:r w:rsidDel="00000000" w:rsidR="00000000" w:rsidRPr="00000000">
        <w:rPr>
          <w:i w:val="1"/>
          <w:iCs w:val="1"/>
          <w:sz w:val="12"/>
          <w:szCs w:val="12"/>
          <w:rtl w:val="0"/>
        </w:rPr>
        <w:t xml:space="preserve">Fonte: Infocamere</w:t>
      </w:r>
    </w:p>
    <w:p w:rsidR="00000000" w:rsidDel="00000000" w:rsidP="00000000" w:rsidRDefault="00000000" w:rsidRPr="00000000" w14:paraId="00000038">
      <w:pPr>
        <w:spacing w:after="0" w:before="0" w:line="276" w:lineRule="auto"/>
        <w:rPr>
          <w:i w:val="1"/>
          <w:iCs w:val="1"/>
          <w:sz w:val="12"/>
          <w:szCs w:val="12"/>
        </w:rPr>
      </w:pPr>
      <w:r w:rsidDel="00000000" w:rsidR="00000000" w:rsidRPr="00000000">
        <w:rPr>
          <w:rtl w:val="0"/>
        </w:rPr>
      </w:r>
    </w:p>
    <w:p w:rsidR="00000000" w:rsidDel="00000000" w:rsidP="00000000" w:rsidRDefault="00000000" w:rsidRPr="00000000" w14:paraId="00000039">
      <w:pPr>
        <w:spacing w:after="0" w:before="0" w:line="276" w:lineRule="auto"/>
        <w:rPr>
          <w:i w:val="1"/>
          <w:iCs w:val="1"/>
          <w:sz w:val="12"/>
          <w:szCs w:val="12"/>
        </w:rPr>
      </w:pPr>
      <w:r w:rsidDel="00000000" w:rsidR="00000000" w:rsidRPr="00000000">
        <w:rPr>
          <w:sz w:val="22"/>
          <w:szCs w:val="22"/>
          <w:rtl w:val="0"/>
        </w:rPr>
        <w:t xml:space="preserve">Tab. 1 Nati-mortalità delle imprese femminili attive per aree geografiche – 2025</w:t>
      </w:r>
      <w:r w:rsidDel="00000000" w:rsidR="00000000" w:rsidRPr="00000000">
        <w:rPr>
          <w:rtl w:val="0"/>
        </w:rPr>
      </w:r>
    </w:p>
    <w:p w:rsidR="00000000" w:rsidDel="00000000" w:rsidP="00000000" w:rsidRDefault="00000000" w:rsidRPr="00000000" w14:paraId="0000003A">
      <w:pPr>
        <w:spacing w:after="0" w:before="0" w:line="276" w:lineRule="auto"/>
        <w:rPr>
          <w:sz w:val="16"/>
          <w:szCs w:val="16"/>
        </w:rPr>
      </w:pPr>
      <w:r w:rsidDel="00000000" w:rsidR="00000000" w:rsidRPr="00000000">
        <w:rPr>
          <w:sz w:val="16"/>
          <w:szCs w:val="16"/>
          <w:rtl w:val="0"/>
        </w:rPr>
        <w:t xml:space="preserve">Valori assoluti e tassi di crescita % rispetto all’anno precedente</w:t>
      </w:r>
    </w:p>
    <w:p w:rsidR="00000000" w:rsidDel="00000000" w:rsidP="00000000" w:rsidRDefault="00000000" w:rsidRPr="00000000" w14:paraId="0000003B">
      <w:pPr>
        <w:spacing w:after="0" w:before="0" w:line="276" w:lineRule="auto"/>
        <w:rPr>
          <w:sz w:val="16"/>
          <w:szCs w:val="16"/>
        </w:rPr>
      </w:pPr>
      <w:r w:rsidDel="00000000" w:rsidR="00000000" w:rsidRPr="00000000">
        <w:rPr>
          <w:rtl w:val="0"/>
        </w:rPr>
      </w:r>
    </w:p>
    <w:tbl>
      <w:tblPr>
        <w:tblStyle w:val="Table1"/>
        <w:tblW w:w="10153.0" w:type="dxa"/>
        <w:jc w:val="left"/>
        <w:tblLayout w:type="fixed"/>
        <w:tblLook w:val="0400"/>
      </w:tblPr>
      <w:tblGrid>
        <w:gridCol w:w="1435"/>
        <w:gridCol w:w="1435"/>
        <w:gridCol w:w="1454"/>
        <w:gridCol w:w="1242"/>
        <w:gridCol w:w="1757"/>
        <w:gridCol w:w="1415"/>
        <w:gridCol w:w="1415"/>
        <w:tblGridChange w:id="0">
          <w:tblGrid>
            <w:gridCol w:w="1435"/>
            <w:gridCol w:w="1435"/>
            <w:gridCol w:w="1454"/>
            <w:gridCol w:w="1242"/>
            <w:gridCol w:w="1757"/>
            <w:gridCol w:w="1415"/>
            <w:gridCol w:w="1415"/>
          </w:tblGrid>
        </w:tblGridChange>
      </w:tblGrid>
      <w:tr>
        <w:trPr>
          <w:cantSplit w:val="0"/>
          <w:trHeight w:val="939" w:hRule="atLeast"/>
          <w:tblHeader w:val="0"/>
        </w:trPr>
        <w:tc>
          <w:tcPr>
            <w:tcBorders>
              <w:top w:color="000000" w:space="0" w:sz="4" w:val="single"/>
              <w:left w:color="000000" w:space="0" w:sz="4" w:val="single"/>
              <w:bottom w:color="000000" w:space="0" w:sz="4" w:val="single"/>
              <w:right w:color="000000" w:space="0" w:sz="4" w:val="single"/>
            </w:tcBorders>
            <w:shd w:fill="b0cfe7" w:val="clear"/>
            <w:vAlign w:val="center"/>
          </w:tcPr>
          <w:p w:rsidR="00000000" w:rsidDel="00000000" w:rsidP="00000000" w:rsidRDefault="00000000" w:rsidRPr="00000000" w14:paraId="0000003C">
            <w:pPr>
              <w:spacing w:after="0" w:before="0" w:lineRule="auto"/>
              <w:jc w:val="center"/>
              <w:rPr>
                <w:b w:val="1"/>
                <w:bCs w:val="1"/>
                <w:color w:val="000000"/>
                <w:sz w:val="22"/>
                <w:szCs w:val="22"/>
              </w:rPr>
            </w:pPr>
            <w:bookmarkStart w:colFirst="0" w:colLast="0" w:name="_heading=h.4r2db910mkks" w:id="20"/>
            <w:bookmarkEnd w:id="20"/>
            <w:r w:rsidDel="00000000" w:rsidR="00000000" w:rsidRPr="00000000">
              <w:rPr>
                <w:b w:val="1"/>
                <w:bCs w:val="1"/>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3D">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Somma di Iscrizioni al 31/12/2025</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3E">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Somma di Cessazioni al 31/12/2025</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3F">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Somma di Saldo al 31/12/2025</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40">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Somma di Imprese attive al 31/12/2025</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41">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Tasso di crescita 2025</w:t>
            </w:r>
          </w:p>
        </w:tc>
        <w:tc>
          <w:tcPr>
            <w:tcBorders>
              <w:top w:color="000000" w:space="0" w:sz="4" w:val="single"/>
              <w:left w:color="000000" w:space="0" w:sz="0" w:val="nil"/>
              <w:bottom w:color="000000" w:space="0" w:sz="4" w:val="single"/>
              <w:right w:color="000000" w:space="0" w:sz="4" w:val="single"/>
            </w:tcBorders>
            <w:shd w:fill="eeece1" w:val="clear"/>
            <w:vAlign w:val="center"/>
          </w:tcPr>
          <w:p w:rsidR="00000000" w:rsidDel="00000000" w:rsidP="00000000" w:rsidRDefault="00000000" w:rsidRPr="00000000" w14:paraId="00000042">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Tasso di crescita 2024</w:t>
            </w:r>
          </w:p>
        </w:tc>
      </w:tr>
      <w:tr>
        <w:trPr>
          <w:cantSplit w:val="0"/>
          <w:trHeight w:val="30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spacing w:after="0" w:before="0" w:lineRule="auto"/>
              <w:jc w:val="left"/>
              <w:rPr>
                <w:color w:val="000000"/>
                <w:sz w:val="22"/>
                <w:szCs w:val="22"/>
              </w:rPr>
            </w:pPr>
            <w:r w:rsidDel="00000000" w:rsidR="00000000" w:rsidRPr="00000000">
              <w:rPr>
                <w:color w:val="000000"/>
                <w:sz w:val="22"/>
                <w:szCs w:val="22"/>
                <w:rtl w:val="0"/>
              </w:rPr>
              <w:t xml:space="preserve">Area Urbana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4">
            <w:pPr>
              <w:spacing w:after="0" w:before="0" w:lineRule="auto"/>
              <w:jc w:val="right"/>
              <w:rPr>
                <w:sz w:val="22"/>
                <w:szCs w:val="22"/>
              </w:rPr>
            </w:pPr>
            <w:r w:rsidDel="00000000" w:rsidR="00000000" w:rsidRPr="00000000">
              <w:rPr>
                <w:sz w:val="22"/>
                <w:szCs w:val="22"/>
                <w:rtl w:val="0"/>
              </w:rPr>
              <w:t xml:space="preserve">498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0" w:before="0" w:lineRule="auto"/>
              <w:jc w:val="right"/>
              <w:rPr>
                <w:sz w:val="22"/>
                <w:szCs w:val="22"/>
              </w:rPr>
            </w:pPr>
            <w:r w:rsidDel="00000000" w:rsidR="00000000" w:rsidRPr="00000000">
              <w:rPr>
                <w:sz w:val="22"/>
                <w:szCs w:val="22"/>
                <w:rtl w:val="0"/>
              </w:rPr>
              <w:t xml:space="preserve">428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6">
            <w:pPr>
              <w:spacing w:after="0" w:before="0" w:lineRule="auto"/>
              <w:jc w:val="right"/>
              <w:rPr>
                <w:sz w:val="22"/>
                <w:szCs w:val="22"/>
              </w:rPr>
            </w:pPr>
            <w:r w:rsidDel="00000000" w:rsidR="00000000" w:rsidRPr="00000000">
              <w:rPr>
                <w:sz w:val="22"/>
                <w:szCs w:val="22"/>
                <w:rtl w:val="0"/>
              </w:rPr>
              <w:t xml:space="preserve">70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0" w:before="0" w:lineRule="auto"/>
              <w:jc w:val="right"/>
              <w:rPr>
                <w:sz w:val="22"/>
                <w:szCs w:val="22"/>
              </w:rPr>
            </w:pPr>
            <w:r w:rsidDel="00000000" w:rsidR="00000000" w:rsidRPr="00000000">
              <w:rPr>
                <w:sz w:val="22"/>
                <w:szCs w:val="22"/>
                <w:rtl w:val="0"/>
              </w:rPr>
              <w:t xml:space="preserve">5.920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before="0" w:lineRule="auto"/>
              <w:jc w:val="right"/>
              <w:rPr>
                <w:color w:val="000000"/>
                <w:sz w:val="22"/>
                <w:szCs w:val="22"/>
              </w:rPr>
            </w:pPr>
            <w:r w:rsidDel="00000000" w:rsidR="00000000" w:rsidRPr="00000000">
              <w:rPr>
                <w:color w:val="000000"/>
                <w:sz w:val="22"/>
                <w:szCs w:val="22"/>
                <w:rtl w:val="0"/>
              </w:rPr>
              <w:t xml:space="preserve">1,18%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before="0" w:lineRule="auto"/>
              <w:jc w:val="right"/>
              <w:rPr>
                <w:color w:val="000000"/>
                <w:sz w:val="22"/>
                <w:szCs w:val="22"/>
              </w:rPr>
            </w:pPr>
            <w:r w:rsidDel="00000000" w:rsidR="00000000" w:rsidRPr="00000000">
              <w:rPr>
                <w:color w:val="000000"/>
                <w:sz w:val="22"/>
                <w:szCs w:val="22"/>
                <w:rtl w:val="0"/>
              </w:rPr>
              <w:t xml:space="preserve">0,00%</w:t>
            </w:r>
          </w:p>
        </w:tc>
      </w:tr>
      <w:tr>
        <w:trPr>
          <w:cantSplit w:val="0"/>
          <w:trHeight w:val="30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spacing w:after="0" w:before="0" w:lineRule="auto"/>
              <w:jc w:val="left"/>
              <w:rPr>
                <w:color w:val="000000"/>
                <w:sz w:val="22"/>
                <w:szCs w:val="22"/>
              </w:rPr>
            </w:pPr>
            <w:r w:rsidDel="00000000" w:rsidR="00000000" w:rsidRPr="00000000">
              <w:rPr>
                <w:color w:val="000000"/>
                <w:sz w:val="22"/>
                <w:szCs w:val="22"/>
                <w:rtl w:val="0"/>
              </w:rPr>
              <w:t xml:space="preserve">Collina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B">
            <w:pPr>
              <w:spacing w:after="0" w:before="0" w:lineRule="auto"/>
              <w:jc w:val="right"/>
              <w:rPr>
                <w:sz w:val="22"/>
                <w:szCs w:val="22"/>
              </w:rPr>
            </w:pPr>
            <w:r w:rsidDel="00000000" w:rsidR="00000000" w:rsidRPr="00000000">
              <w:rPr>
                <w:sz w:val="22"/>
                <w:szCs w:val="22"/>
                <w:rtl w:val="0"/>
              </w:rPr>
              <w:t xml:space="preserve">280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C">
            <w:pPr>
              <w:spacing w:after="0" w:before="0" w:lineRule="auto"/>
              <w:jc w:val="right"/>
              <w:rPr>
                <w:sz w:val="22"/>
                <w:szCs w:val="22"/>
              </w:rPr>
            </w:pPr>
            <w:r w:rsidDel="00000000" w:rsidR="00000000" w:rsidRPr="00000000">
              <w:rPr>
                <w:sz w:val="22"/>
                <w:szCs w:val="22"/>
                <w:rtl w:val="0"/>
              </w:rPr>
              <w:t xml:space="preserve">268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before="0" w:lineRule="auto"/>
              <w:jc w:val="right"/>
              <w:rPr>
                <w:sz w:val="22"/>
                <w:szCs w:val="22"/>
              </w:rPr>
            </w:pPr>
            <w:r w:rsidDel="00000000" w:rsidR="00000000" w:rsidRPr="00000000">
              <w:rPr>
                <w:sz w:val="22"/>
                <w:szCs w:val="22"/>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before="0" w:lineRule="auto"/>
              <w:jc w:val="right"/>
              <w:rPr>
                <w:sz w:val="22"/>
                <w:szCs w:val="22"/>
              </w:rPr>
            </w:pPr>
            <w:r w:rsidDel="00000000" w:rsidR="00000000" w:rsidRPr="00000000">
              <w:rPr>
                <w:sz w:val="22"/>
                <w:szCs w:val="22"/>
                <w:rtl w:val="0"/>
              </w:rPr>
              <w:t xml:space="preserve">3.621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F">
            <w:pPr>
              <w:spacing w:after="0" w:before="0" w:lineRule="auto"/>
              <w:jc w:val="right"/>
              <w:rPr>
                <w:color w:val="000000"/>
                <w:sz w:val="22"/>
                <w:szCs w:val="22"/>
              </w:rPr>
            </w:pPr>
            <w:r w:rsidDel="00000000" w:rsidR="00000000" w:rsidRPr="00000000">
              <w:rPr>
                <w:color w:val="000000"/>
                <w:sz w:val="22"/>
                <w:szCs w:val="22"/>
                <w:rtl w:val="0"/>
              </w:rPr>
              <w:t xml:space="preserve">0,33%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0">
            <w:pPr>
              <w:spacing w:after="0" w:before="0" w:lineRule="auto"/>
              <w:jc w:val="right"/>
              <w:rPr>
                <w:color w:val="000000"/>
                <w:sz w:val="22"/>
                <w:szCs w:val="22"/>
              </w:rPr>
            </w:pPr>
            <w:r w:rsidDel="00000000" w:rsidR="00000000" w:rsidRPr="00000000">
              <w:rPr>
                <w:color w:val="000000"/>
                <w:sz w:val="22"/>
                <w:szCs w:val="22"/>
                <w:rtl w:val="0"/>
              </w:rPr>
              <w:t xml:space="preserve">0,11%</w:t>
            </w:r>
          </w:p>
        </w:tc>
      </w:tr>
      <w:tr>
        <w:trPr>
          <w:cantSplit w:val="0"/>
          <w:trHeight w:val="30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spacing w:after="0" w:before="0" w:lineRule="auto"/>
              <w:jc w:val="left"/>
              <w:rPr>
                <w:color w:val="000000"/>
                <w:sz w:val="22"/>
                <w:szCs w:val="22"/>
              </w:rPr>
            </w:pPr>
            <w:r w:rsidDel="00000000" w:rsidR="00000000" w:rsidRPr="00000000">
              <w:rPr>
                <w:color w:val="000000"/>
                <w:sz w:val="22"/>
                <w:szCs w:val="22"/>
                <w:rtl w:val="0"/>
              </w:rPr>
              <w:t xml:space="preserve">Montagna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before="0" w:lineRule="auto"/>
              <w:jc w:val="right"/>
              <w:rPr>
                <w:sz w:val="22"/>
                <w:szCs w:val="22"/>
              </w:rPr>
            </w:pPr>
            <w:r w:rsidDel="00000000" w:rsidR="00000000" w:rsidRPr="00000000">
              <w:rPr>
                <w:sz w:val="22"/>
                <w:szCs w:val="22"/>
                <w:rtl w:val="0"/>
              </w:rPr>
              <w:t xml:space="preserve">174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before="0" w:lineRule="auto"/>
              <w:jc w:val="right"/>
              <w:rPr>
                <w:sz w:val="22"/>
                <w:szCs w:val="22"/>
              </w:rPr>
            </w:pPr>
            <w:r w:rsidDel="00000000" w:rsidR="00000000" w:rsidRPr="00000000">
              <w:rPr>
                <w:sz w:val="22"/>
                <w:szCs w:val="22"/>
                <w:rtl w:val="0"/>
              </w:rPr>
              <w:t xml:space="preserve">196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0" w:before="0" w:lineRule="auto"/>
              <w:jc w:val="right"/>
              <w:rPr>
                <w:sz w:val="22"/>
                <w:szCs w:val="22"/>
              </w:rPr>
            </w:pPr>
            <w:r w:rsidDel="00000000" w:rsidR="00000000" w:rsidRPr="00000000">
              <w:rPr>
                <w:sz w:val="22"/>
                <w:szCs w:val="22"/>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before="0" w:lineRule="auto"/>
              <w:jc w:val="right"/>
              <w:rPr>
                <w:sz w:val="22"/>
                <w:szCs w:val="22"/>
              </w:rPr>
            </w:pPr>
            <w:r w:rsidDel="00000000" w:rsidR="00000000" w:rsidRPr="00000000">
              <w:rPr>
                <w:sz w:val="22"/>
                <w:szCs w:val="22"/>
                <w:rtl w:val="0"/>
              </w:rPr>
              <w:t xml:space="preserve">2.724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6">
            <w:pPr>
              <w:spacing w:after="0" w:before="0" w:lineRule="auto"/>
              <w:jc w:val="right"/>
              <w:rPr>
                <w:color w:val="000000"/>
                <w:sz w:val="22"/>
                <w:szCs w:val="22"/>
              </w:rPr>
            </w:pPr>
            <w:r w:rsidDel="00000000" w:rsidR="00000000" w:rsidRPr="00000000">
              <w:rPr>
                <w:color w:val="000000"/>
                <w:sz w:val="22"/>
                <w:szCs w:val="22"/>
                <w:rtl w:val="0"/>
              </w:rPr>
              <w:t xml:space="preserve">-0,81%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7">
            <w:pPr>
              <w:spacing w:after="0" w:before="0" w:lineRule="auto"/>
              <w:jc w:val="right"/>
              <w:rPr>
                <w:color w:val="000000"/>
                <w:sz w:val="22"/>
                <w:szCs w:val="22"/>
              </w:rPr>
            </w:pPr>
            <w:r w:rsidDel="00000000" w:rsidR="00000000" w:rsidRPr="00000000">
              <w:rPr>
                <w:color w:val="000000"/>
                <w:sz w:val="22"/>
                <w:szCs w:val="22"/>
                <w:rtl w:val="0"/>
              </w:rPr>
              <w:t xml:space="preserve">0,66%</w:t>
            </w:r>
          </w:p>
        </w:tc>
      </w:tr>
      <w:tr>
        <w:trPr>
          <w:cantSplit w:val="0"/>
          <w:trHeight w:val="301"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spacing w:after="0" w:before="0" w:lineRule="auto"/>
              <w:jc w:val="left"/>
              <w:rPr>
                <w:color w:val="000000"/>
                <w:sz w:val="22"/>
                <w:szCs w:val="22"/>
              </w:rPr>
            </w:pPr>
            <w:r w:rsidDel="00000000" w:rsidR="00000000" w:rsidRPr="00000000">
              <w:rPr>
                <w:color w:val="000000"/>
                <w:sz w:val="22"/>
                <w:szCs w:val="22"/>
                <w:rtl w:val="0"/>
              </w:rPr>
              <w:t xml:space="preserve">Pianura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before="0" w:lineRule="auto"/>
              <w:jc w:val="right"/>
              <w:rPr>
                <w:sz w:val="22"/>
                <w:szCs w:val="22"/>
              </w:rPr>
            </w:pPr>
            <w:r w:rsidDel="00000000" w:rsidR="00000000" w:rsidRPr="00000000">
              <w:rPr>
                <w:sz w:val="22"/>
                <w:szCs w:val="22"/>
                <w:rtl w:val="0"/>
              </w:rPr>
              <w:t xml:space="preserve">440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A">
            <w:pPr>
              <w:spacing w:after="0" w:before="0" w:lineRule="auto"/>
              <w:jc w:val="right"/>
              <w:rPr>
                <w:sz w:val="22"/>
                <w:szCs w:val="22"/>
              </w:rPr>
            </w:pPr>
            <w:r w:rsidDel="00000000" w:rsidR="00000000" w:rsidRPr="00000000">
              <w:rPr>
                <w:sz w:val="22"/>
                <w:szCs w:val="22"/>
                <w:rtl w:val="0"/>
              </w:rPr>
              <w:t xml:space="preserve">422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B">
            <w:pPr>
              <w:spacing w:after="0" w:before="0" w:lineRule="auto"/>
              <w:jc w:val="right"/>
              <w:rPr>
                <w:sz w:val="22"/>
                <w:szCs w:val="22"/>
              </w:rPr>
            </w:pPr>
            <w:r w:rsidDel="00000000" w:rsidR="00000000" w:rsidRPr="00000000">
              <w:rPr>
                <w:sz w:val="22"/>
                <w:szCs w:val="22"/>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C">
            <w:pPr>
              <w:spacing w:after="0" w:before="0" w:lineRule="auto"/>
              <w:jc w:val="right"/>
              <w:rPr>
                <w:sz w:val="22"/>
                <w:szCs w:val="22"/>
              </w:rPr>
            </w:pPr>
            <w:r w:rsidDel="00000000" w:rsidR="00000000" w:rsidRPr="00000000">
              <w:rPr>
                <w:sz w:val="22"/>
                <w:szCs w:val="22"/>
                <w:rtl w:val="0"/>
              </w:rPr>
              <w:t xml:space="preserve">5.213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D">
            <w:pPr>
              <w:spacing w:after="0" w:before="0" w:lineRule="auto"/>
              <w:jc w:val="right"/>
              <w:rPr>
                <w:color w:val="000000"/>
                <w:sz w:val="22"/>
                <w:szCs w:val="22"/>
              </w:rPr>
            </w:pPr>
            <w:r w:rsidDel="00000000" w:rsidR="00000000" w:rsidRPr="00000000">
              <w:rPr>
                <w:color w:val="000000"/>
                <w:sz w:val="22"/>
                <w:szCs w:val="22"/>
                <w:rtl w:val="0"/>
              </w:rPr>
              <w:t xml:space="preserve">0,35%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E">
            <w:pPr>
              <w:spacing w:after="0" w:before="0" w:lineRule="auto"/>
              <w:jc w:val="right"/>
              <w:rPr>
                <w:color w:val="000000"/>
                <w:sz w:val="22"/>
                <w:szCs w:val="22"/>
              </w:rPr>
            </w:pPr>
            <w:r w:rsidDel="00000000" w:rsidR="00000000" w:rsidRPr="00000000">
              <w:rPr>
                <w:color w:val="000000"/>
                <w:sz w:val="22"/>
                <w:szCs w:val="22"/>
                <w:rtl w:val="0"/>
              </w:rPr>
              <w:t xml:space="preserve">-0,17%</w:t>
            </w:r>
          </w:p>
        </w:tc>
      </w:tr>
      <w:tr>
        <w:trPr>
          <w:cantSplit w:val="0"/>
          <w:trHeight w:val="318" w:hRule="atLeast"/>
          <w:tblHeader w:val="0"/>
        </w:trPr>
        <w:tc>
          <w:tcPr>
            <w:tcBorders>
              <w:top w:color="000000" w:space="0" w:sz="0" w:val="nil"/>
              <w:left w:color="000000" w:space="0" w:sz="4" w:val="single"/>
              <w:bottom w:color="000000" w:space="0" w:sz="4" w:val="single"/>
              <w:right w:color="000000" w:space="0" w:sz="4" w:val="single"/>
            </w:tcBorders>
            <w:shd w:fill="b0cfe7" w:val="clear"/>
          </w:tcPr>
          <w:p w:rsidR="00000000" w:rsidDel="00000000" w:rsidP="00000000" w:rsidRDefault="00000000" w:rsidRPr="00000000" w14:paraId="0000005F">
            <w:pPr>
              <w:spacing w:after="0" w:before="0" w:lineRule="auto"/>
              <w:jc w:val="left"/>
              <w:rPr>
                <w:b w:val="1"/>
                <w:bCs w:val="1"/>
                <w:sz w:val="22"/>
                <w:szCs w:val="22"/>
              </w:rPr>
            </w:pPr>
            <w:r w:rsidDel="00000000" w:rsidR="00000000" w:rsidRPr="00000000">
              <w:rPr>
                <w:b w:val="1"/>
                <w:bCs w:val="1"/>
                <w:sz w:val="22"/>
                <w:szCs w:val="22"/>
                <w:rtl w:val="0"/>
              </w:rPr>
              <w:t xml:space="preserve">Totale</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60">
            <w:pPr>
              <w:spacing w:after="0" w:before="0" w:lineRule="auto"/>
              <w:jc w:val="right"/>
              <w:rPr>
                <w:b w:val="1"/>
                <w:bCs w:val="1"/>
                <w:sz w:val="22"/>
                <w:szCs w:val="22"/>
              </w:rPr>
            </w:pPr>
            <w:r w:rsidDel="00000000" w:rsidR="00000000" w:rsidRPr="00000000">
              <w:rPr>
                <w:b w:val="1"/>
                <w:bCs w:val="1"/>
                <w:sz w:val="22"/>
                <w:szCs w:val="22"/>
                <w:rtl w:val="0"/>
              </w:rPr>
              <w:t xml:space="preserve">1.392</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61">
            <w:pPr>
              <w:spacing w:after="0" w:before="0" w:lineRule="auto"/>
              <w:jc w:val="right"/>
              <w:rPr>
                <w:b w:val="1"/>
                <w:bCs w:val="1"/>
                <w:sz w:val="22"/>
                <w:szCs w:val="22"/>
              </w:rPr>
            </w:pPr>
            <w:r w:rsidDel="00000000" w:rsidR="00000000" w:rsidRPr="00000000">
              <w:rPr>
                <w:b w:val="1"/>
                <w:bCs w:val="1"/>
                <w:sz w:val="22"/>
                <w:szCs w:val="22"/>
                <w:rtl w:val="0"/>
              </w:rPr>
              <w:t xml:space="preserve">1.314</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62">
            <w:pPr>
              <w:spacing w:after="0" w:before="0" w:lineRule="auto"/>
              <w:jc w:val="right"/>
              <w:rPr>
                <w:b w:val="1"/>
                <w:bCs w:val="1"/>
                <w:sz w:val="22"/>
                <w:szCs w:val="22"/>
              </w:rPr>
            </w:pPr>
            <w:r w:rsidDel="00000000" w:rsidR="00000000" w:rsidRPr="00000000">
              <w:rPr>
                <w:b w:val="1"/>
                <w:bCs w:val="1"/>
                <w:sz w:val="22"/>
                <w:szCs w:val="22"/>
                <w:rtl w:val="0"/>
              </w:rPr>
              <w:t xml:space="preserve">78</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63">
            <w:pPr>
              <w:spacing w:after="0" w:before="0" w:lineRule="auto"/>
              <w:jc w:val="right"/>
              <w:rPr>
                <w:b w:val="1"/>
                <w:bCs w:val="1"/>
                <w:sz w:val="22"/>
                <w:szCs w:val="22"/>
              </w:rPr>
            </w:pPr>
            <w:r w:rsidDel="00000000" w:rsidR="00000000" w:rsidRPr="00000000">
              <w:rPr>
                <w:b w:val="1"/>
                <w:bCs w:val="1"/>
                <w:sz w:val="22"/>
                <w:szCs w:val="22"/>
                <w:rtl w:val="0"/>
              </w:rPr>
              <w:t xml:space="preserve">17.478</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64">
            <w:pPr>
              <w:spacing w:after="0" w:before="0" w:lineRule="auto"/>
              <w:jc w:val="right"/>
              <w:rPr>
                <w:b w:val="1"/>
                <w:bCs w:val="1"/>
                <w:sz w:val="22"/>
                <w:szCs w:val="22"/>
              </w:rPr>
            </w:pPr>
            <w:r w:rsidDel="00000000" w:rsidR="00000000" w:rsidRPr="00000000">
              <w:rPr>
                <w:b w:val="1"/>
                <w:bCs w:val="1"/>
                <w:sz w:val="22"/>
                <w:szCs w:val="22"/>
                <w:rtl w:val="0"/>
              </w:rPr>
              <w:t xml:space="preserve">0,45%</w:t>
            </w:r>
          </w:p>
        </w:tc>
        <w:tc>
          <w:tcPr>
            <w:tcBorders>
              <w:top w:color="000000" w:space="0" w:sz="0" w:val="nil"/>
              <w:left w:color="000000" w:space="0" w:sz="0" w:val="nil"/>
              <w:bottom w:color="000000" w:space="0" w:sz="4" w:val="single"/>
              <w:right w:color="000000" w:space="0" w:sz="4" w:val="single"/>
            </w:tcBorders>
            <w:shd w:fill="eeece1" w:val="clear"/>
            <w:vAlign w:val="center"/>
          </w:tcPr>
          <w:p w:rsidR="00000000" w:rsidDel="00000000" w:rsidP="00000000" w:rsidRDefault="00000000" w:rsidRPr="00000000" w14:paraId="00000065">
            <w:pPr>
              <w:spacing w:after="0" w:before="0" w:lineRule="auto"/>
              <w:jc w:val="right"/>
              <w:rPr>
                <w:b w:val="1"/>
                <w:bCs w:val="1"/>
                <w:sz w:val="22"/>
                <w:szCs w:val="22"/>
              </w:rPr>
            </w:pPr>
            <w:r w:rsidDel="00000000" w:rsidR="00000000" w:rsidRPr="00000000">
              <w:rPr>
                <w:b w:val="1"/>
                <w:bCs w:val="1"/>
                <w:sz w:val="22"/>
                <w:szCs w:val="22"/>
                <w:rtl w:val="0"/>
              </w:rPr>
              <w:t xml:space="preserve">0,07%</w:t>
            </w:r>
          </w:p>
        </w:tc>
      </w:tr>
    </w:tbl>
    <w:p w:rsidR="00000000" w:rsidDel="00000000" w:rsidP="00000000" w:rsidRDefault="00000000" w:rsidRPr="00000000" w14:paraId="00000066">
      <w:pPr>
        <w:spacing w:after="0" w:before="0" w:line="276" w:lineRule="auto"/>
        <w:rPr>
          <w:sz w:val="12"/>
          <w:szCs w:val="12"/>
        </w:rPr>
      </w:pPr>
      <w:r w:rsidDel="00000000" w:rsidR="00000000" w:rsidRPr="00000000">
        <w:rPr>
          <w:rtl w:val="0"/>
        </w:rPr>
      </w:r>
    </w:p>
    <w:p w:rsidR="00000000" w:rsidDel="00000000" w:rsidP="00000000" w:rsidRDefault="00000000" w:rsidRPr="00000000" w14:paraId="00000067">
      <w:pPr>
        <w:spacing w:after="0" w:before="0" w:line="276" w:lineRule="auto"/>
        <w:rPr>
          <w:sz w:val="12"/>
          <w:szCs w:val="12"/>
        </w:rPr>
      </w:pPr>
      <w:r w:rsidDel="00000000" w:rsidR="00000000" w:rsidRPr="00000000">
        <w:rPr>
          <w:i w:val="1"/>
          <w:iCs w:val="1"/>
          <w:sz w:val="12"/>
          <w:szCs w:val="12"/>
          <w:rtl w:val="0"/>
        </w:rPr>
        <w:t xml:space="preserve">Fonte</w:t>
      </w:r>
      <w:r w:rsidDel="00000000" w:rsidR="00000000" w:rsidRPr="00000000">
        <w:rPr>
          <w:sz w:val="12"/>
          <w:szCs w:val="12"/>
          <w:rtl w:val="0"/>
        </w:rPr>
        <w:t xml:space="preserve">: Infocamere</w:t>
      </w:r>
    </w:p>
    <w:p w:rsidR="00000000" w:rsidDel="00000000" w:rsidP="00000000" w:rsidRDefault="00000000" w:rsidRPr="00000000" w14:paraId="00000068">
      <w:pPr>
        <w:spacing w:after="0" w:before="0" w:line="276" w:lineRule="auto"/>
        <w:rPr>
          <w:sz w:val="12"/>
          <w:szCs w:val="12"/>
        </w:rPr>
      </w:pPr>
      <w:r w:rsidDel="00000000" w:rsidR="00000000" w:rsidRPr="00000000">
        <w:rPr>
          <w:rtl w:val="0"/>
        </w:rPr>
      </w:r>
    </w:p>
    <w:p w:rsidR="00000000" w:rsidDel="00000000" w:rsidP="00000000" w:rsidRDefault="00000000" w:rsidRPr="00000000" w14:paraId="00000069">
      <w:pPr>
        <w:spacing w:after="0" w:before="0" w:line="276" w:lineRule="auto"/>
        <w:rPr>
          <w:sz w:val="22"/>
          <w:szCs w:val="22"/>
        </w:rPr>
      </w:pPr>
      <w:r w:rsidDel="00000000" w:rsidR="00000000" w:rsidRPr="00000000">
        <w:rPr>
          <w:sz w:val="22"/>
          <w:szCs w:val="22"/>
          <w:rtl w:val="0"/>
        </w:rPr>
        <w:t xml:space="preserve">Tab. 2 Nati-mortalità delle imprese femminili attive per settore di attività - 2025</w:t>
      </w:r>
    </w:p>
    <w:p w:rsidR="00000000" w:rsidDel="00000000" w:rsidP="00000000" w:rsidRDefault="00000000" w:rsidRPr="00000000" w14:paraId="0000006A">
      <w:pPr>
        <w:spacing w:after="0" w:before="0" w:line="276" w:lineRule="auto"/>
        <w:rPr>
          <w:sz w:val="16"/>
          <w:szCs w:val="16"/>
        </w:rPr>
      </w:pPr>
      <w:r w:rsidDel="00000000" w:rsidR="00000000" w:rsidRPr="00000000">
        <w:rPr>
          <w:sz w:val="16"/>
          <w:szCs w:val="16"/>
          <w:rtl w:val="0"/>
        </w:rPr>
        <w:t xml:space="preserve">Valori assoluti e tassi di crescita % rispetto all’anno precedente</w:t>
      </w:r>
    </w:p>
    <w:p w:rsidR="00000000" w:rsidDel="00000000" w:rsidP="00000000" w:rsidRDefault="00000000" w:rsidRPr="00000000" w14:paraId="0000006B">
      <w:pPr>
        <w:spacing w:after="0" w:before="0" w:line="276" w:lineRule="auto"/>
        <w:rPr>
          <w:sz w:val="16"/>
          <w:szCs w:val="16"/>
        </w:rPr>
      </w:pPr>
      <w:r w:rsidDel="00000000" w:rsidR="00000000" w:rsidRPr="00000000">
        <w:rPr>
          <w:rtl w:val="0"/>
        </w:rPr>
      </w:r>
    </w:p>
    <w:p w:rsidR="00000000" w:rsidDel="00000000" w:rsidP="00000000" w:rsidRDefault="00000000" w:rsidRPr="00000000" w14:paraId="0000006C">
      <w:pPr>
        <w:spacing w:after="0" w:before="0" w:line="276" w:lineRule="auto"/>
        <w:rPr>
          <w:sz w:val="22"/>
          <w:szCs w:val="22"/>
        </w:rPr>
      </w:pPr>
      <w:r w:rsidDel="00000000" w:rsidR="00000000" w:rsidRPr="00000000">
        <w:rPr/>
        <w:drawing>
          <wp:inline distB="0" distT="0" distL="0" distR="0">
            <wp:extent cx="6479540" cy="3201491"/>
            <wp:effectExtent b="0" l="0" r="0" t="0"/>
            <wp:docPr id="178841801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479540" cy="3201491"/>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pacing w:after="0" w:before="0" w:line="276" w:lineRule="auto"/>
        <w:rPr>
          <w:sz w:val="12"/>
          <w:szCs w:val="12"/>
        </w:rPr>
      </w:pPr>
      <w:r w:rsidDel="00000000" w:rsidR="00000000" w:rsidRPr="00000000">
        <w:rPr>
          <w:rtl w:val="0"/>
        </w:rPr>
      </w:r>
    </w:p>
    <w:p w:rsidR="00000000" w:rsidDel="00000000" w:rsidP="00000000" w:rsidRDefault="00000000" w:rsidRPr="00000000" w14:paraId="0000006E">
      <w:pPr>
        <w:spacing w:after="0" w:before="0" w:line="276" w:lineRule="auto"/>
        <w:rPr>
          <w:sz w:val="12"/>
          <w:szCs w:val="12"/>
        </w:rPr>
      </w:pPr>
      <w:r w:rsidDel="00000000" w:rsidR="00000000" w:rsidRPr="00000000">
        <w:rPr>
          <w:i w:val="1"/>
          <w:iCs w:val="1"/>
          <w:sz w:val="12"/>
          <w:szCs w:val="12"/>
          <w:rtl w:val="0"/>
        </w:rPr>
        <w:t xml:space="preserve">Fonte</w:t>
      </w:r>
      <w:r w:rsidDel="00000000" w:rsidR="00000000" w:rsidRPr="00000000">
        <w:rPr>
          <w:sz w:val="12"/>
          <w:szCs w:val="12"/>
          <w:rtl w:val="0"/>
        </w:rPr>
        <w:t xml:space="preserve">: Infocamere</w:t>
      </w:r>
    </w:p>
    <w:p w:rsidR="00000000" w:rsidDel="00000000" w:rsidP="00000000" w:rsidRDefault="00000000" w:rsidRPr="00000000" w14:paraId="0000006F">
      <w:pPr>
        <w:spacing w:after="0" w:before="0" w:line="276" w:lineRule="auto"/>
        <w:rPr>
          <w:sz w:val="12"/>
          <w:szCs w:val="12"/>
        </w:rPr>
      </w:pPr>
      <w:r w:rsidDel="00000000" w:rsidR="00000000" w:rsidRPr="00000000">
        <w:rPr>
          <w:rtl w:val="0"/>
        </w:rPr>
      </w:r>
    </w:p>
    <w:p w:rsidR="00000000" w:rsidDel="00000000" w:rsidP="00000000" w:rsidRDefault="00000000" w:rsidRPr="00000000" w14:paraId="00000070">
      <w:pPr>
        <w:spacing w:after="0" w:before="0" w:line="276" w:lineRule="auto"/>
        <w:rPr>
          <w:sz w:val="22"/>
          <w:szCs w:val="22"/>
        </w:rPr>
      </w:pPr>
      <w:r w:rsidDel="00000000" w:rsidR="00000000" w:rsidRPr="00000000">
        <w:rPr>
          <w:rtl w:val="0"/>
        </w:rPr>
      </w:r>
    </w:p>
    <w:p w:rsidR="00000000" w:rsidDel="00000000" w:rsidP="00000000" w:rsidRDefault="00000000" w:rsidRPr="00000000" w14:paraId="00000071">
      <w:pPr>
        <w:spacing w:after="0" w:before="0" w:line="276" w:lineRule="auto"/>
        <w:rPr>
          <w:sz w:val="22"/>
          <w:szCs w:val="22"/>
        </w:rPr>
      </w:pPr>
      <w:r w:rsidDel="00000000" w:rsidR="00000000" w:rsidRPr="00000000">
        <w:rPr>
          <w:rtl w:val="0"/>
        </w:rPr>
      </w:r>
    </w:p>
    <w:p w:rsidR="00000000" w:rsidDel="00000000" w:rsidP="00000000" w:rsidRDefault="00000000" w:rsidRPr="00000000" w14:paraId="00000072">
      <w:pPr>
        <w:spacing w:after="0" w:before="0" w:line="276" w:lineRule="auto"/>
        <w:rPr>
          <w:sz w:val="22"/>
          <w:szCs w:val="22"/>
        </w:rPr>
      </w:pPr>
      <w:r w:rsidDel="00000000" w:rsidR="00000000" w:rsidRPr="00000000">
        <w:rPr>
          <w:rtl w:val="0"/>
        </w:rPr>
      </w:r>
    </w:p>
    <w:p w:rsidR="00000000" w:rsidDel="00000000" w:rsidP="00000000" w:rsidRDefault="00000000" w:rsidRPr="00000000" w14:paraId="00000073">
      <w:pPr>
        <w:spacing w:after="0" w:before="0" w:line="276" w:lineRule="auto"/>
        <w:rPr>
          <w:sz w:val="22"/>
          <w:szCs w:val="22"/>
        </w:rPr>
      </w:pPr>
      <w:r w:rsidDel="00000000" w:rsidR="00000000" w:rsidRPr="00000000">
        <w:rPr>
          <w:rtl w:val="0"/>
        </w:rPr>
      </w:r>
    </w:p>
    <w:p w:rsidR="00000000" w:rsidDel="00000000" w:rsidP="00000000" w:rsidRDefault="00000000" w:rsidRPr="00000000" w14:paraId="00000074">
      <w:pPr>
        <w:spacing w:after="0" w:before="0" w:line="276" w:lineRule="auto"/>
        <w:rPr>
          <w:sz w:val="22"/>
          <w:szCs w:val="22"/>
        </w:rPr>
      </w:pPr>
      <w:r w:rsidDel="00000000" w:rsidR="00000000" w:rsidRPr="00000000">
        <w:rPr>
          <w:rtl w:val="0"/>
        </w:rPr>
      </w:r>
    </w:p>
    <w:p w:rsidR="00000000" w:rsidDel="00000000" w:rsidP="00000000" w:rsidRDefault="00000000" w:rsidRPr="00000000" w14:paraId="00000075">
      <w:pPr>
        <w:spacing w:after="0" w:before="0" w:line="276" w:lineRule="auto"/>
        <w:rPr>
          <w:sz w:val="22"/>
          <w:szCs w:val="22"/>
        </w:rPr>
      </w:pPr>
      <w:r w:rsidDel="00000000" w:rsidR="00000000" w:rsidRPr="00000000">
        <w:rPr>
          <w:rtl w:val="0"/>
        </w:rPr>
      </w:r>
    </w:p>
    <w:p w:rsidR="00000000" w:rsidDel="00000000" w:rsidP="00000000" w:rsidRDefault="00000000" w:rsidRPr="00000000" w14:paraId="00000076">
      <w:pPr>
        <w:spacing w:after="0" w:before="0" w:line="276" w:lineRule="auto"/>
        <w:rPr>
          <w:sz w:val="22"/>
          <w:szCs w:val="22"/>
        </w:rPr>
      </w:pPr>
      <w:r w:rsidDel="00000000" w:rsidR="00000000" w:rsidRPr="00000000">
        <w:rPr>
          <w:rtl w:val="0"/>
        </w:rPr>
      </w:r>
    </w:p>
    <w:p w:rsidR="00000000" w:rsidDel="00000000" w:rsidP="00000000" w:rsidRDefault="00000000" w:rsidRPr="00000000" w14:paraId="00000077">
      <w:pPr>
        <w:spacing w:after="0" w:before="0" w:line="276" w:lineRule="auto"/>
        <w:rPr>
          <w:sz w:val="22"/>
          <w:szCs w:val="22"/>
        </w:rPr>
      </w:pPr>
      <w:r w:rsidDel="00000000" w:rsidR="00000000" w:rsidRPr="00000000">
        <w:rPr>
          <w:rtl w:val="0"/>
        </w:rPr>
      </w:r>
    </w:p>
    <w:p w:rsidR="00000000" w:rsidDel="00000000" w:rsidP="00000000" w:rsidRDefault="00000000" w:rsidRPr="00000000" w14:paraId="00000078">
      <w:pPr>
        <w:spacing w:after="0" w:before="0" w:line="276" w:lineRule="auto"/>
        <w:rPr>
          <w:sz w:val="22"/>
          <w:szCs w:val="22"/>
        </w:rPr>
      </w:pPr>
      <w:r w:rsidDel="00000000" w:rsidR="00000000" w:rsidRPr="00000000">
        <w:rPr>
          <w:sz w:val="22"/>
          <w:szCs w:val="22"/>
          <w:rtl w:val="0"/>
        </w:rPr>
        <w:t xml:space="preserve">Tab. 3 Nati-mortalità delle imprese femminili attive per classi di natura giuridica – 2025</w:t>
      </w:r>
    </w:p>
    <w:p w:rsidR="00000000" w:rsidDel="00000000" w:rsidP="00000000" w:rsidRDefault="00000000" w:rsidRPr="00000000" w14:paraId="00000079">
      <w:pPr>
        <w:spacing w:after="0" w:before="0" w:line="276" w:lineRule="auto"/>
        <w:rPr>
          <w:sz w:val="16"/>
          <w:szCs w:val="16"/>
        </w:rPr>
      </w:pPr>
      <w:r w:rsidDel="00000000" w:rsidR="00000000" w:rsidRPr="00000000">
        <w:rPr>
          <w:sz w:val="16"/>
          <w:szCs w:val="16"/>
          <w:rtl w:val="0"/>
        </w:rPr>
        <w:t xml:space="preserve">Valori assoluti e tassi di crescita % rispetto all’anno precedente</w:t>
      </w:r>
    </w:p>
    <w:p w:rsidR="00000000" w:rsidDel="00000000" w:rsidP="00000000" w:rsidRDefault="00000000" w:rsidRPr="00000000" w14:paraId="0000007A">
      <w:pPr>
        <w:spacing w:after="0" w:before="0" w:line="276" w:lineRule="auto"/>
        <w:rPr>
          <w:sz w:val="16"/>
          <w:szCs w:val="16"/>
        </w:rPr>
      </w:pPr>
      <w:r w:rsidDel="00000000" w:rsidR="00000000" w:rsidRPr="00000000">
        <w:rPr>
          <w:rtl w:val="0"/>
        </w:rPr>
      </w:r>
    </w:p>
    <w:tbl>
      <w:tblPr>
        <w:tblStyle w:val="Table2"/>
        <w:tblW w:w="10165.0" w:type="dxa"/>
        <w:jc w:val="left"/>
        <w:tblLayout w:type="fixed"/>
        <w:tblLook w:val="0400"/>
      </w:tblPr>
      <w:tblGrid>
        <w:gridCol w:w="2128"/>
        <w:gridCol w:w="1254"/>
        <w:gridCol w:w="1309"/>
        <w:gridCol w:w="1055"/>
        <w:gridCol w:w="1509"/>
        <w:gridCol w:w="1455"/>
        <w:gridCol w:w="1455"/>
        <w:tblGridChange w:id="0">
          <w:tblGrid>
            <w:gridCol w:w="2128"/>
            <w:gridCol w:w="1254"/>
            <w:gridCol w:w="1309"/>
            <w:gridCol w:w="1055"/>
            <w:gridCol w:w="1509"/>
            <w:gridCol w:w="1455"/>
            <w:gridCol w:w="1455"/>
          </w:tblGrid>
        </w:tblGridChange>
      </w:tblGrid>
      <w:tr>
        <w:trPr>
          <w:cantSplit w:val="0"/>
          <w:trHeight w:val="583" w:hRule="atLeast"/>
          <w:tblHeader w:val="0"/>
        </w:trPr>
        <w:tc>
          <w:tcPr>
            <w:tcBorders>
              <w:top w:color="000000" w:space="0" w:sz="4" w:val="single"/>
              <w:left w:color="000000" w:space="0" w:sz="4" w:val="single"/>
              <w:bottom w:color="000000" w:space="0" w:sz="4" w:val="single"/>
              <w:right w:color="000000" w:space="0" w:sz="4" w:val="single"/>
            </w:tcBorders>
            <w:shd w:fill="b0cfe7" w:val="clear"/>
            <w:vAlign w:val="center"/>
          </w:tcPr>
          <w:p w:rsidR="00000000" w:rsidDel="00000000" w:rsidP="00000000" w:rsidRDefault="00000000" w:rsidRPr="00000000" w14:paraId="0000007B">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Forme giuridiche</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7C">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Iscrizioni</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7D">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Cessazioni</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7E">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Saldo</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7F">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Imprese attive al 31/12/2025</w:t>
            </w:r>
          </w:p>
        </w:tc>
        <w:tc>
          <w:tcPr>
            <w:tcBorders>
              <w:top w:color="000000" w:space="0" w:sz="4" w:val="single"/>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80">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Tasso di crescita 2025</w:t>
            </w:r>
          </w:p>
        </w:tc>
        <w:tc>
          <w:tcPr>
            <w:tcBorders>
              <w:top w:color="000000" w:space="0" w:sz="4" w:val="single"/>
              <w:left w:color="000000" w:space="0" w:sz="0" w:val="nil"/>
              <w:bottom w:color="000000" w:space="0" w:sz="4" w:val="single"/>
              <w:right w:color="000000" w:space="0" w:sz="4" w:val="single"/>
            </w:tcBorders>
            <w:shd w:fill="eeece1" w:val="clear"/>
            <w:vAlign w:val="center"/>
          </w:tcPr>
          <w:p w:rsidR="00000000" w:rsidDel="00000000" w:rsidP="00000000" w:rsidRDefault="00000000" w:rsidRPr="00000000" w14:paraId="00000081">
            <w:pPr>
              <w:spacing w:after="0" w:before="0" w:lineRule="auto"/>
              <w:jc w:val="center"/>
              <w:rPr>
                <w:b w:val="1"/>
                <w:bCs w:val="1"/>
                <w:color w:val="000000"/>
                <w:sz w:val="22"/>
                <w:szCs w:val="22"/>
              </w:rPr>
            </w:pPr>
            <w:r w:rsidDel="00000000" w:rsidR="00000000" w:rsidRPr="00000000">
              <w:rPr>
                <w:b w:val="1"/>
                <w:bCs w:val="1"/>
                <w:color w:val="000000"/>
                <w:sz w:val="22"/>
                <w:szCs w:val="22"/>
                <w:rtl w:val="0"/>
              </w:rPr>
              <w:t xml:space="preserve">Tasso di crescita 2024</w:t>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spacing w:after="0" w:before="0" w:lineRule="auto"/>
              <w:jc w:val="left"/>
              <w:rPr>
                <w:color w:val="000000"/>
                <w:sz w:val="22"/>
                <w:szCs w:val="22"/>
              </w:rPr>
            </w:pPr>
            <w:r w:rsidDel="00000000" w:rsidR="00000000" w:rsidRPr="00000000">
              <w:rPr>
                <w:color w:val="000000"/>
                <w:sz w:val="22"/>
                <w:szCs w:val="22"/>
                <w:rtl w:val="0"/>
              </w:rPr>
              <w:t xml:space="preserve">Società di capitale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3">
            <w:pPr>
              <w:spacing w:after="0" w:before="0" w:lineRule="auto"/>
              <w:jc w:val="right"/>
              <w:rPr>
                <w:sz w:val="22"/>
                <w:szCs w:val="22"/>
              </w:rPr>
            </w:pPr>
            <w:r w:rsidDel="00000000" w:rsidR="00000000" w:rsidRPr="00000000">
              <w:rPr>
                <w:sz w:val="22"/>
                <w:szCs w:val="22"/>
                <w:rtl w:val="0"/>
              </w:rPr>
              <w:t xml:space="preserve">304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4">
            <w:pPr>
              <w:spacing w:after="0" w:before="0" w:lineRule="auto"/>
              <w:jc w:val="right"/>
              <w:rPr>
                <w:sz w:val="22"/>
                <w:szCs w:val="22"/>
              </w:rPr>
            </w:pPr>
            <w:r w:rsidDel="00000000" w:rsidR="00000000" w:rsidRPr="00000000">
              <w:rPr>
                <w:sz w:val="22"/>
                <w:szCs w:val="22"/>
                <w:rtl w:val="0"/>
              </w:rPr>
              <w:t xml:space="preserve">236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5">
            <w:pPr>
              <w:spacing w:after="0" w:before="0" w:lineRule="auto"/>
              <w:jc w:val="right"/>
              <w:rPr>
                <w:sz w:val="22"/>
                <w:szCs w:val="22"/>
              </w:rPr>
            </w:pPr>
            <w:r w:rsidDel="00000000" w:rsidR="00000000" w:rsidRPr="00000000">
              <w:rPr>
                <w:sz w:val="22"/>
                <w:szCs w:val="22"/>
                <w:rtl w:val="0"/>
              </w:rPr>
              <w:t xml:space="preserve">68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6">
            <w:pPr>
              <w:spacing w:after="0" w:before="0" w:lineRule="auto"/>
              <w:jc w:val="right"/>
              <w:rPr>
                <w:sz w:val="22"/>
                <w:szCs w:val="22"/>
              </w:rPr>
            </w:pPr>
            <w:r w:rsidDel="00000000" w:rsidR="00000000" w:rsidRPr="00000000">
              <w:rPr>
                <w:sz w:val="22"/>
                <w:szCs w:val="22"/>
                <w:rtl w:val="0"/>
              </w:rPr>
              <w:t xml:space="preserve">4.599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spacing w:after="0" w:before="0" w:lineRule="auto"/>
              <w:jc w:val="right"/>
              <w:rPr>
                <w:color w:val="000000"/>
                <w:sz w:val="22"/>
                <w:szCs w:val="22"/>
              </w:rPr>
            </w:pPr>
            <w:r w:rsidDel="00000000" w:rsidR="00000000" w:rsidRPr="00000000">
              <w:rPr>
                <w:color w:val="000000"/>
                <w:sz w:val="22"/>
                <w:szCs w:val="22"/>
                <w:rtl w:val="0"/>
              </w:rPr>
              <w:t xml:space="preserve">1,48%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8">
            <w:pPr>
              <w:spacing w:after="0" w:before="0" w:lineRule="auto"/>
              <w:jc w:val="right"/>
              <w:rPr>
                <w:color w:val="000000"/>
                <w:sz w:val="22"/>
                <w:szCs w:val="22"/>
              </w:rPr>
            </w:pPr>
            <w:r w:rsidDel="00000000" w:rsidR="00000000" w:rsidRPr="00000000">
              <w:rPr>
                <w:color w:val="000000"/>
                <w:sz w:val="22"/>
                <w:szCs w:val="22"/>
                <w:rtl w:val="0"/>
              </w:rPr>
              <w:t xml:space="preserve">1,04%</w:t>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before="0" w:lineRule="auto"/>
              <w:jc w:val="left"/>
              <w:rPr>
                <w:color w:val="000000"/>
                <w:sz w:val="22"/>
                <w:szCs w:val="22"/>
              </w:rPr>
            </w:pPr>
            <w:r w:rsidDel="00000000" w:rsidR="00000000" w:rsidRPr="00000000">
              <w:rPr>
                <w:color w:val="000000"/>
                <w:sz w:val="22"/>
                <w:szCs w:val="22"/>
                <w:rtl w:val="0"/>
              </w:rPr>
              <w:t xml:space="preserve">Società di persone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A">
            <w:pPr>
              <w:spacing w:after="0" w:before="0" w:lineRule="auto"/>
              <w:jc w:val="right"/>
              <w:rPr>
                <w:sz w:val="22"/>
                <w:szCs w:val="22"/>
              </w:rPr>
            </w:pPr>
            <w:r w:rsidDel="00000000" w:rsidR="00000000" w:rsidRPr="00000000">
              <w:rPr>
                <w:sz w:val="22"/>
                <w:szCs w:val="22"/>
                <w:rtl w:val="0"/>
              </w:rPr>
              <w:t xml:space="preserve">52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B">
            <w:pPr>
              <w:spacing w:after="0" w:before="0" w:lineRule="auto"/>
              <w:jc w:val="right"/>
              <w:rPr>
                <w:sz w:val="22"/>
                <w:szCs w:val="22"/>
              </w:rPr>
            </w:pPr>
            <w:r w:rsidDel="00000000" w:rsidR="00000000" w:rsidRPr="00000000">
              <w:rPr>
                <w:sz w:val="22"/>
                <w:szCs w:val="22"/>
                <w:rtl w:val="0"/>
              </w:rPr>
              <w:t xml:space="preserve">104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C">
            <w:pPr>
              <w:spacing w:after="0" w:before="0" w:lineRule="auto"/>
              <w:jc w:val="right"/>
              <w:rPr>
                <w:sz w:val="22"/>
                <w:szCs w:val="22"/>
              </w:rPr>
            </w:pPr>
            <w:r w:rsidDel="00000000" w:rsidR="00000000" w:rsidRPr="00000000">
              <w:rPr>
                <w:sz w:val="22"/>
                <w:szCs w:val="22"/>
                <w:rtl w:val="0"/>
              </w:rPr>
              <w:t xml:space="preserve">-52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D">
            <w:pPr>
              <w:spacing w:after="0" w:before="0" w:lineRule="auto"/>
              <w:jc w:val="right"/>
              <w:rPr>
                <w:sz w:val="22"/>
                <w:szCs w:val="22"/>
              </w:rPr>
            </w:pPr>
            <w:r w:rsidDel="00000000" w:rsidR="00000000" w:rsidRPr="00000000">
              <w:rPr>
                <w:sz w:val="22"/>
                <w:szCs w:val="22"/>
                <w:rtl w:val="0"/>
              </w:rPr>
              <w:t xml:space="preserve">1.973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E">
            <w:pPr>
              <w:spacing w:after="0" w:before="0" w:lineRule="auto"/>
              <w:jc w:val="right"/>
              <w:rPr>
                <w:color w:val="000000"/>
                <w:sz w:val="22"/>
                <w:szCs w:val="22"/>
              </w:rPr>
            </w:pPr>
            <w:r w:rsidDel="00000000" w:rsidR="00000000" w:rsidRPr="00000000">
              <w:rPr>
                <w:color w:val="000000"/>
                <w:sz w:val="22"/>
                <w:szCs w:val="22"/>
                <w:rtl w:val="0"/>
              </w:rPr>
              <w:t xml:space="preserve">-2,64%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spacing w:after="0" w:before="0" w:lineRule="auto"/>
              <w:jc w:val="right"/>
              <w:rPr>
                <w:color w:val="000000"/>
                <w:sz w:val="22"/>
                <w:szCs w:val="22"/>
              </w:rPr>
            </w:pPr>
            <w:r w:rsidDel="00000000" w:rsidR="00000000" w:rsidRPr="00000000">
              <w:rPr>
                <w:color w:val="000000"/>
                <w:sz w:val="22"/>
                <w:szCs w:val="22"/>
                <w:rtl w:val="0"/>
              </w:rPr>
              <w:t xml:space="preserve">-3,88%</w:t>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spacing w:after="0" w:before="0" w:lineRule="auto"/>
              <w:jc w:val="left"/>
              <w:rPr>
                <w:color w:val="000000"/>
                <w:sz w:val="22"/>
                <w:szCs w:val="22"/>
              </w:rPr>
            </w:pPr>
            <w:r w:rsidDel="00000000" w:rsidR="00000000" w:rsidRPr="00000000">
              <w:rPr>
                <w:color w:val="000000"/>
                <w:sz w:val="22"/>
                <w:szCs w:val="22"/>
                <w:rtl w:val="0"/>
              </w:rPr>
              <w:t xml:space="preserve">Imprese individuali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before="0" w:lineRule="auto"/>
              <w:jc w:val="right"/>
              <w:rPr>
                <w:sz w:val="22"/>
                <w:szCs w:val="22"/>
              </w:rPr>
            </w:pPr>
            <w:r w:rsidDel="00000000" w:rsidR="00000000" w:rsidRPr="00000000">
              <w:rPr>
                <w:sz w:val="22"/>
                <w:szCs w:val="22"/>
                <w:rtl w:val="0"/>
              </w:rPr>
              <w:t xml:space="preserve">1.018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0" w:before="0" w:lineRule="auto"/>
              <w:jc w:val="right"/>
              <w:rPr>
                <w:sz w:val="22"/>
                <w:szCs w:val="22"/>
              </w:rPr>
            </w:pPr>
            <w:r w:rsidDel="00000000" w:rsidR="00000000" w:rsidRPr="00000000">
              <w:rPr>
                <w:sz w:val="22"/>
                <w:szCs w:val="22"/>
                <w:rtl w:val="0"/>
              </w:rPr>
              <w:t xml:space="preserve">947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before="0" w:lineRule="auto"/>
              <w:jc w:val="right"/>
              <w:rPr>
                <w:sz w:val="22"/>
                <w:szCs w:val="22"/>
              </w:rPr>
            </w:pPr>
            <w:r w:rsidDel="00000000" w:rsidR="00000000" w:rsidRPr="00000000">
              <w:rPr>
                <w:sz w:val="22"/>
                <w:szCs w:val="22"/>
                <w:rtl w:val="0"/>
              </w:rPr>
              <w:t xml:space="preserve">71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4">
            <w:pPr>
              <w:spacing w:after="0" w:before="0" w:lineRule="auto"/>
              <w:jc w:val="right"/>
              <w:rPr>
                <w:sz w:val="22"/>
                <w:szCs w:val="22"/>
              </w:rPr>
            </w:pPr>
            <w:r w:rsidDel="00000000" w:rsidR="00000000" w:rsidRPr="00000000">
              <w:rPr>
                <w:sz w:val="22"/>
                <w:szCs w:val="22"/>
                <w:rtl w:val="0"/>
              </w:rPr>
              <w:t xml:space="preserve">10.626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5">
            <w:pPr>
              <w:spacing w:after="0" w:before="0" w:lineRule="auto"/>
              <w:jc w:val="right"/>
              <w:rPr>
                <w:color w:val="000000"/>
                <w:sz w:val="22"/>
                <w:szCs w:val="22"/>
              </w:rPr>
            </w:pPr>
            <w:r w:rsidDel="00000000" w:rsidR="00000000" w:rsidRPr="00000000">
              <w:rPr>
                <w:color w:val="000000"/>
                <w:sz w:val="22"/>
                <w:szCs w:val="22"/>
                <w:rtl w:val="0"/>
              </w:rPr>
              <w:t xml:space="preserve">0,67%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6">
            <w:pPr>
              <w:spacing w:after="0" w:before="0" w:lineRule="auto"/>
              <w:jc w:val="right"/>
              <w:rPr>
                <w:color w:val="000000"/>
                <w:sz w:val="22"/>
                <w:szCs w:val="22"/>
              </w:rPr>
            </w:pPr>
            <w:r w:rsidDel="00000000" w:rsidR="00000000" w:rsidRPr="00000000">
              <w:rPr>
                <w:color w:val="000000"/>
                <w:sz w:val="22"/>
                <w:szCs w:val="22"/>
                <w:rtl w:val="0"/>
              </w:rPr>
              <w:t xml:space="preserve">0,82%</w:t>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spacing w:after="0" w:before="0" w:lineRule="auto"/>
              <w:jc w:val="left"/>
              <w:rPr>
                <w:color w:val="000000"/>
                <w:sz w:val="22"/>
                <w:szCs w:val="22"/>
              </w:rPr>
            </w:pPr>
            <w:r w:rsidDel="00000000" w:rsidR="00000000" w:rsidRPr="00000000">
              <w:rPr>
                <w:color w:val="000000"/>
                <w:sz w:val="22"/>
                <w:szCs w:val="22"/>
                <w:rtl w:val="0"/>
              </w:rPr>
              <w:t xml:space="preserve">Cooperative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0" w:before="0" w:lineRule="auto"/>
              <w:jc w:val="right"/>
              <w:rPr>
                <w:sz w:val="22"/>
                <w:szCs w:val="22"/>
              </w:rPr>
            </w:pPr>
            <w:r w:rsidDel="00000000" w:rsidR="00000000" w:rsidRPr="00000000">
              <w:rPr>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before="0" w:lineRule="auto"/>
              <w:jc w:val="right"/>
              <w:rPr>
                <w:sz w:val="22"/>
                <w:szCs w:val="22"/>
              </w:rPr>
            </w:pPr>
            <w:r w:rsidDel="00000000" w:rsidR="00000000" w:rsidRPr="00000000">
              <w:rPr>
                <w:sz w:val="22"/>
                <w:szCs w:val="22"/>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A">
            <w:pPr>
              <w:spacing w:after="0" w:before="0" w:lineRule="auto"/>
              <w:jc w:val="right"/>
              <w:rPr>
                <w:sz w:val="22"/>
                <w:szCs w:val="22"/>
              </w:rPr>
            </w:pPr>
            <w:r w:rsidDel="00000000" w:rsidR="00000000" w:rsidRPr="00000000">
              <w:rPr>
                <w:sz w:val="22"/>
                <w:szCs w:val="22"/>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B">
            <w:pPr>
              <w:spacing w:after="0" w:before="0" w:lineRule="auto"/>
              <w:jc w:val="right"/>
              <w:rPr>
                <w:sz w:val="22"/>
                <w:szCs w:val="22"/>
              </w:rPr>
            </w:pPr>
            <w:r w:rsidDel="00000000" w:rsidR="00000000" w:rsidRPr="00000000">
              <w:rPr>
                <w:sz w:val="22"/>
                <w:szCs w:val="22"/>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spacing w:after="0" w:before="0" w:lineRule="auto"/>
              <w:jc w:val="right"/>
              <w:rPr>
                <w:color w:val="000000"/>
                <w:sz w:val="22"/>
                <w:szCs w:val="22"/>
              </w:rPr>
            </w:pPr>
            <w:r w:rsidDel="00000000" w:rsidR="00000000" w:rsidRPr="00000000">
              <w:rPr>
                <w:color w:val="000000"/>
                <w:sz w:val="22"/>
                <w:szCs w:val="22"/>
                <w:rtl w:val="0"/>
              </w:rPr>
              <w:t xml:space="preserve">-9,17%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D">
            <w:pPr>
              <w:spacing w:after="0" w:before="0" w:lineRule="auto"/>
              <w:jc w:val="right"/>
              <w:rPr>
                <w:color w:val="000000"/>
                <w:sz w:val="22"/>
                <w:szCs w:val="22"/>
              </w:rPr>
            </w:pPr>
            <w:r w:rsidDel="00000000" w:rsidR="00000000" w:rsidRPr="00000000">
              <w:rPr>
                <w:color w:val="000000"/>
                <w:sz w:val="22"/>
                <w:szCs w:val="22"/>
                <w:rtl w:val="0"/>
              </w:rPr>
              <w:t xml:space="preserve">-37,70%</w:t>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before="0" w:lineRule="auto"/>
              <w:jc w:val="left"/>
              <w:rPr>
                <w:color w:val="000000"/>
                <w:sz w:val="22"/>
                <w:szCs w:val="22"/>
              </w:rPr>
            </w:pPr>
            <w:r w:rsidDel="00000000" w:rsidR="00000000" w:rsidRPr="00000000">
              <w:rPr>
                <w:color w:val="000000"/>
                <w:sz w:val="22"/>
                <w:szCs w:val="22"/>
                <w:rtl w:val="0"/>
              </w:rPr>
              <w:t xml:space="preserve">Consorzi</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before="0" w:lineRule="auto"/>
              <w:jc w:val="right"/>
              <w:rPr>
                <w:sz w:val="22"/>
                <w:szCs w:val="22"/>
              </w:rPr>
            </w:pPr>
            <w:r w:rsidDel="00000000" w:rsidR="00000000" w:rsidRPr="00000000">
              <w:rPr>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0">
            <w:pPr>
              <w:spacing w:after="0" w:before="0" w:lineRule="auto"/>
              <w:jc w:val="right"/>
              <w:rPr>
                <w:sz w:val="22"/>
                <w:szCs w:val="22"/>
              </w:rPr>
            </w:pPr>
            <w:r w:rsidDel="00000000" w:rsidR="00000000" w:rsidRPr="00000000">
              <w:rPr>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1">
            <w:pPr>
              <w:spacing w:after="0" w:before="0" w:lineRule="auto"/>
              <w:jc w:val="right"/>
              <w:rPr>
                <w:sz w:val="22"/>
                <w:szCs w:val="22"/>
              </w:rPr>
            </w:pPr>
            <w:r w:rsidDel="00000000" w:rsidR="00000000" w:rsidRPr="00000000">
              <w:rPr>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before="0" w:lineRule="auto"/>
              <w:jc w:val="right"/>
              <w:rPr>
                <w:sz w:val="22"/>
                <w:szCs w:val="22"/>
              </w:rPr>
            </w:pPr>
            <w:r w:rsidDel="00000000" w:rsidR="00000000" w:rsidRPr="00000000">
              <w:rPr>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3">
            <w:pPr>
              <w:spacing w:after="0" w:before="0" w:lineRule="auto"/>
              <w:jc w:val="right"/>
              <w:rPr>
                <w:color w:val="000000"/>
                <w:sz w:val="22"/>
                <w:szCs w:val="22"/>
              </w:rPr>
            </w:pPr>
            <w:r w:rsidDel="00000000" w:rsidR="00000000" w:rsidRPr="00000000">
              <w:rPr>
                <w:color w:val="000000"/>
                <w:sz w:val="22"/>
                <w:szCs w:val="22"/>
                <w:rtl w:val="0"/>
              </w:rPr>
              <w:t xml:space="preserve">-12,50%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4">
            <w:pPr>
              <w:spacing w:after="0" w:before="0" w:lineRule="auto"/>
              <w:jc w:val="right"/>
              <w:rPr>
                <w:color w:val="000000"/>
                <w:sz w:val="22"/>
                <w:szCs w:val="22"/>
              </w:rPr>
            </w:pPr>
            <w:r w:rsidDel="00000000" w:rsidR="00000000" w:rsidRPr="00000000">
              <w:rPr>
                <w:color w:val="000000"/>
                <w:sz w:val="22"/>
                <w:szCs w:val="22"/>
                <w:rtl w:val="0"/>
              </w:rPr>
              <w:t xml:space="preserve">-12,50%</w:t>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spacing w:after="0" w:before="0" w:lineRule="auto"/>
              <w:jc w:val="left"/>
              <w:rPr>
                <w:color w:val="000000"/>
                <w:sz w:val="22"/>
                <w:szCs w:val="22"/>
              </w:rPr>
            </w:pPr>
            <w:r w:rsidDel="00000000" w:rsidR="00000000" w:rsidRPr="00000000">
              <w:rPr>
                <w:color w:val="000000"/>
                <w:sz w:val="22"/>
                <w:szCs w:val="22"/>
                <w:rtl w:val="0"/>
              </w:rPr>
              <w:t xml:space="preserve">Altre forme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6">
            <w:pPr>
              <w:spacing w:after="0" w:before="0" w:lineRule="auto"/>
              <w:jc w:val="right"/>
              <w:rPr>
                <w:sz w:val="22"/>
                <w:szCs w:val="22"/>
              </w:rPr>
            </w:pPr>
            <w:r w:rsidDel="00000000" w:rsidR="00000000" w:rsidRPr="00000000">
              <w:rPr>
                <w:sz w:val="22"/>
                <w:szCs w:val="22"/>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7">
            <w:pPr>
              <w:spacing w:after="0" w:before="0" w:lineRule="auto"/>
              <w:jc w:val="right"/>
              <w:rPr>
                <w:sz w:val="22"/>
                <w:szCs w:val="22"/>
              </w:rPr>
            </w:pPr>
            <w:r w:rsidDel="00000000" w:rsidR="00000000" w:rsidRPr="00000000">
              <w:rPr>
                <w:sz w:val="22"/>
                <w:szCs w:val="22"/>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8">
            <w:pPr>
              <w:spacing w:after="0" w:before="0" w:lineRule="auto"/>
              <w:jc w:val="right"/>
              <w:rPr>
                <w:sz w:val="22"/>
                <w:szCs w:val="22"/>
              </w:rPr>
            </w:pPr>
            <w:r w:rsidDel="00000000" w:rsidR="00000000" w:rsidRPr="00000000">
              <w:rPr>
                <w:sz w:val="22"/>
                <w:szCs w:val="22"/>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before="0" w:lineRule="auto"/>
              <w:jc w:val="right"/>
              <w:rPr>
                <w:sz w:val="22"/>
                <w:szCs w:val="22"/>
              </w:rPr>
            </w:pPr>
            <w:r w:rsidDel="00000000" w:rsidR="00000000" w:rsidRPr="00000000">
              <w:rPr>
                <w:sz w:val="22"/>
                <w:szCs w:val="22"/>
                <w:rtl w:val="0"/>
              </w:rPr>
              <w:t xml:space="preserve">152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A">
            <w:pPr>
              <w:spacing w:after="0" w:before="0" w:lineRule="auto"/>
              <w:jc w:val="right"/>
              <w:rPr>
                <w:color w:val="000000"/>
                <w:sz w:val="22"/>
                <w:szCs w:val="22"/>
              </w:rPr>
            </w:pPr>
            <w:r w:rsidDel="00000000" w:rsidR="00000000" w:rsidRPr="00000000">
              <w:rPr>
                <w:color w:val="000000"/>
                <w:sz w:val="22"/>
                <w:szCs w:val="22"/>
                <w:rtl w:val="0"/>
              </w:rPr>
              <w:t xml:space="preserve">1,97%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spacing w:after="0" w:before="0" w:lineRule="auto"/>
              <w:jc w:val="right"/>
              <w:rPr>
                <w:color w:val="000000"/>
                <w:sz w:val="22"/>
                <w:szCs w:val="22"/>
              </w:rPr>
            </w:pPr>
            <w:r w:rsidDel="00000000" w:rsidR="00000000" w:rsidRPr="00000000">
              <w:rPr>
                <w:color w:val="000000"/>
                <w:sz w:val="22"/>
                <w:szCs w:val="22"/>
                <w:rtl w:val="0"/>
              </w:rPr>
              <w:t xml:space="preserve">3,36%</w:t>
            </w:r>
          </w:p>
        </w:tc>
      </w:tr>
      <w:tr>
        <w:trPr>
          <w:cantSplit w:val="0"/>
          <w:trHeight w:val="291" w:hRule="atLeast"/>
          <w:tblHeader w:val="0"/>
        </w:trPr>
        <w:tc>
          <w:tcPr>
            <w:tcBorders>
              <w:top w:color="000000" w:space="0" w:sz="0" w:val="nil"/>
              <w:left w:color="000000" w:space="0" w:sz="4" w:val="single"/>
              <w:bottom w:color="000000" w:space="0" w:sz="4" w:val="single"/>
              <w:right w:color="000000" w:space="0" w:sz="4" w:val="single"/>
            </w:tcBorders>
            <w:shd w:fill="b0cfe7" w:val="clear"/>
          </w:tcPr>
          <w:p w:rsidR="00000000" w:rsidDel="00000000" w:rsidP="00000000" w:rsidRDefault="00000000" w:rsidRPr="00000000" w14:paraId="000000AC">
            <w:pPr>
              <w:spacing w:after="0" w:before="0" w:lineRule="auto"/>
              <w:jc w:val="left"/>
              <w:rPr>
                <w:b w:val="1"/>
                <w:bCs w:val="1"/>
                <w:sz w:val="22"/>
                <w:szCs w:val="22"/>
              </w:rPr>
            </w:pPr>
            <w:r w:rsidDel="00000000" w:rsidR="00000000" w:rsidRPr="00000000">
              <w:rPr>
                <w:b w:val="1"/>
                <w:bCs w:val="1"/>
                <w:sz w:val="22"/>
                <w:szCs w:val="22"/>
                <w:rtl w:val="0"/>
              </w:rPr>
              <w:t xml:space="preserve">Totale</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AD">
            <w:pPr>
              <w:spacing w:after="0" w:before="0" w:lineRule="auto"/>
              <w:jc w:val="right"/>
              <w:rPr>
                <w:b w:val="1"/>
                <w:bCs w:val="1"/>
                <w:sz w:val="22"/>
                <w:szCs w:val="22"/>
              </w:rPr>
            </w:pPr>
            <w:r w:rsidDel="00000000" w:rsidR="00000000" w:rsidRPr="00000000">
              <w:rPr>
                <w:b w:val="1"/>
                <w:bCs w:val="1"/>
                <w:sz w:val="22"/>
                <w:szCs w:val="22"/>
                <w:rtl w:val="0"/>
              </w:rPr>
              <w:t xml:space="preserve">1.392</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AE">
            <w:pPr>
              <w:spacing w:after="0" w:before="0" w:lineRule="auto"/>
              <w:jc w:val="right"/>
              <w:rPr>
                <w:b w:val="1"/>
                <w:bCs w:val="1"/>
                <w:sz w:val="22"/>
                <w:szCs w:val="22"/>
              </w:rPr>
            </w:pPr>
            <w:r w:rsidDel="00000000" w:rsidR="00000000" w:rsidRPr="00000000">
              <w:rPr>
                <w:b w:val="1"/>
                <w:bCs w:val="1"/>
                <w:sz w:val="22"/>
                <w:szCs w:val="22"/>
                <w:rtl w:val="0"/>
              </w:rPr>
              <w:t xml:space="preserve">1.314</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AF">
            <w:pPr>
              <w:spacing w:after="0" w:before="0" w:lineRule="auto"/>
              <w:jc w:val="right"/>
              <w:rPr>
                <w:b w:val="1"/>
                <w:bCs w:val="1"/>
                <w:sz w:val="22"/>
                <w:szCs w:val="22"/>
              </w:rPr>
            </w:pPr>
            <w:r w:rsidDel="00000000" w:rsidR="00000000" w:rsidRPr="00000000">
              <w:rPr>
                <w:b w:val="1"/>
                <w:bCs w:val="1"/>
                <w:sz w:val="22"/>
                <w:szCs w:val="22"/>
                <w:rtl w:val="0"/>
              </w:rPr>
              <w:t xml:space="preserve">78</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B0">
            <w:pPr>
              <w:spacing w:after="0" w:before="0" w:lineRule="auto"/>
              <w:jc w:val="right"/>
              <w:rPr>
                <w:b w:val="1"/>
                <w:bCs w:val="1"/>
                <w:sz w:val="22"/>
                <w:szCs w:val="22"/>
              </w:rPr>
            </w:pPr>
            <w:r w:rsidDel="00000000" w:rsidR="00000000" w:rsidRPr="00000000">
              <w:rPr>
                <w:b w:val="1"/>
                <w:bCs w:val="1"/>
                <w:sz w:val="22"/>
                <w:szCs w:val="22"/>
                <w:rtl w:val="0"/>
              </w:rPr>
              <w:t xml:space="preserve">17.478</w:t>
            </w:r>
          </w:p>
        </w:tc>
        <w:tc>
          <w:tcPr>
            <w:tcBorders>
              <w:top w:color="000000" w:space="0" w:sz="0" w:val="nil"/>
              <w:left w:color="000000" w:space="0" w:sz="0" w:val="nil"/>
              <w:bottom w:color="000000" w:space="0" w:sz="4" w:val="single"/>
              <w:right w:color="000000" w:space="0" w:sz="4" w:val="single"/>
            </w:tcBorders>
            <w:shd w:fill="b0cfe7" w:val="clear"/>
            <w:vAlign w:val="center"/>
          </w:tcPr>
          <w:p w:rsidR="00000000" w:rsidDel="00000000" w:rsidP="00000000" w:rsidRDefault="00000000" w:rsidRPr="00000000" w14:paraId="000000B1">
            <w:pPr>
              <w:spacing w:after="0" w:before="0" w:lineRule="auto"/>
              <w:jc w:val="right"/>
              <w:rPr>
                <w:b w:val="1"/>
                <w:bCs w:val="1"/>
                <w:sz w:val="22"/>
                <w:szCs w:val="22"/>
              </w:rPr>
            </w:pPr>
            <w:r w:rsidDel="00000000" w:rsidR="00000000" w:rsidRPr="00000000">
              <w:rPr>
                <w:b w:val="1"/>
                <w:bCs w:val="1"/>
                <w:sz w:val="22"/>
                <w:szCs w:val="22"/>
                <w:rtl w:val="0"/>
              </w:rPr>
              <w:t xml:space="preserve">0,45%</w:t>
            </w:r>
          </w:p>
        </w:tc>
        <w:tc>
          <w:tcPr>
            <w:tcBorders>
              <w:top w:color="000000" w:space="0" w:sz="0" w:val="nil"/>
              <w:left w:color="000000" w:space="0" w:sz="0" w:val="nil"/>
              <w:bottom w:color="000000" w:space="0" w:sz="4" w:val="single"/>
              <w:right w:color="000000" w:space="0" w:sz="4" w:val="single"/>
            </w:tcBorders>
            <w:shd w:fill="eeece1" w:val="clear"/>
            <w:vAlign w:val="center"/>
          </w:tcPr>
          <w:p w:rsidR="00000000" w:rsidDel="00000000" w:rsidP="00000000" w:rsidRDefault="00000000" w:rsidRPr="00000000" w14:paraId="000000B2">
            <w:pPr>
              <w:spacing w:after="0" w:before="0" w:lineRule="auto"/>
              <w:jc w:val="right"/>
              <w:rPr>
                <w:b w:val="1"/>
                <w:bCs w:val="1"/>
                <w:sz w:val="22"/>
                <w:szCs w:val="22"/>
              </w:rPr>
            </w:pPr>
            <w:r w:rsidDel="00000000" w:rsidR="00000000" w:rsidRPr="00000000">
              <w:rPr>
                <w:b w:val="1"/>
                <w:bCs w:val="1"/>
                <w:sz w:val="22"/>
                <w:szCs w:val="22"/>
                <w:rtl w:val="0"/>
              </w:rPr>
              <w:t xml:space="preserve">0,07%</w:t>
            </w:r>
          </w:p>
        </w:tc>
      </w:tr>
    </w:tbl>
    <w:p w:rsidR="00000000" w:rsidDel="00000000" w:rsidP="00000000" w:rsidRDefault="00000000" w:rsidRPr="00000000" w14:paraId="000000B3">
      <w:pPr>
        <w:spacing w:after="0" w:before="0" w:line="276" w:lineRule="auto"/>
        <w:rPr>
          <w:i w:val="1"/>
          <w:iCs w:val="1"/>
          <w:sz w:val="12"/>
          <w:szCs w:val="12"/>
        </w:rPr>
      </w:pPr>
      <w:r w:rsidDel="00000000" w:rsidR="00000000" w:rsidRPr="00000000">
        <w:rPr>
          <w:rtl w:val="0"/>
        </w:rPr>
      </w:r>
    </w:p>
    <w:p w:rsidR="00000000" w:rsidDel="00000000" w:rsidP="00000000" w:rsidRDefault="00000000" w:rsidRPr="00000000" w14:paraId="000000B4">
      <w:pPr>
        <w:spacing w:after="0" w:before="0" w:line="276" w:lineRule="auto"/>
        <w:rPr>
          <w:i w:val="1"/>
          <w:iCs w:val="1"/>
          <w:sz w:val="12"/>
          <w:szCs w:val="12"/>
        </w:rPr>
      </w:pPr>
      <w:r w:rsidDel="00000000" w:rsidR="00000000" w:rsidRPr="00000000">
        <w:rPr>
          <w:i w:val="1"/>
          <w:iCs w:val="1"/>
          <w:sz w:val="12"/>
          <w:szCs w:val="12"/>
          <w:rtl w:val="0"/>
        </w:rPr>
        <w:t xml:space="preserve">Fonte</w:t>
      </w:r>
      <w:r w:rsidDel="00000000" w:rsidR="00000000" w:rsidRPr="00000000">
        <w:rPr>
          <w:sz w:val="12"/>
          <w:szCs w:val="12"/>
          <w:rtl w:val="0"/>
        </w:rPr>
        <w:t xml:space="preserve">: Infocamere</w:t>
      </w:r>
      <w:r w:rsidDel="00000000" w:rsidR="00000000" w:rsidRPr="00000000">
        <w:rPr>
          <w:rtl w:val="0"/>
        </w:rPr>
      </w:r>
    </w:p>
    <w:p w:rsidR="00000000" w:rsidDel="00000000" w:rsidP="00000000" w:rsidRDefault="00000000" w:rsidRPr="00000000" w14:paraId="000000B5">
      <w:pPr>
        <w:spacing w:after="0" w:before="0" w:line="276" w:lineRule="auto"/>
        <w:rPr>
          <w:sz w:val="14"/>
          <w:szCs w:val="14"/>
        </w:rPr>
      </w:pPr>
      <w:r w:rsidDel="00000000" w:rsidR="00000000" w:rsidRPr="00000000">
        <w:rPr>
          <w:rtl w:val="0"/>
        </w:rPr>
      </w:r>
    </w:p>
    <w:sectPr>
      <w:headerReference r:id="rId11" w:type="default"/>
      <w:headerReference r:id="rId12" w:type="first"/>
      <w:footerReference r:id="rId13" w:type="first"/>
      <w:pgSz w:h="16838" w:w="11906" w:orient="portrait"/>
      <w:pgMar w:bottom="1985" w:top="2268" w:left="851" w:right="851" w:header="709" w:footer="181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-539745</wp:posOffset>
          </wp:positionH>
          <wp:positionV relativeFrom="paragraph">
            <wp:posOffset>0</wp:posOffset>
          </wp:positionV>
          <wp:extent cx="7560000" cy="1321200"/>
          <wp:effectExtent b="0" l="0" r="0" t="0"/>
          <wp:wrapNone/>
          <wp:docPr id="178841800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000" cy="13212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-533395</wp:posOffset>
          </wp:positionH>
          <wp:positionV relativeFrom="paragraph">
            <wp:posOffset>-428618</wp:posOffset>
          </wp:positionV>
          <wp:extent cx="7560000" cy="1220400"/>
          <wp:effectExtent b="0" l="0" r="0" t="0"/>
          <wp:wrapNone/>
          <wp:docPr id="178841801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0000" cy="12204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-530220</wp:posOffset>
          </wp:positionH>
          <wp:positionV relativeFrom="paragraph">
            <wp:posOffset>-425443</wp:posOffset>
          </wp:positionV>
          <wp:extent cx="7560000" cy="1220400"/>
          <wp:effectExtent b="0" l="0" r="0" t="0"/>
          <wp:wrapNone/>
          <wp:docPr id="178841801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0000" cy="1220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it"/>
      </w:rPr>
    </w:rPrDefault>
    <w:pPrDefault>
      <w:pPr>
        <w:spacing w:after="12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jc w:val="left"/>
    </w:pPr>
    <w:rPr>
      <w:color w:val="424242"/>
      <w:sz w:val="48"/>
      <w:szCs w:val="48"/>
    </w:rPr>
  </w:style>
  <w:style w:type="paragraph" w:styleId="Heading2">
    <w:name w:val="heading 2"/>
    <w:basedOn w:val="Normal"/>
    <w:next w:val="Normal"/>
    <w:pPr>
      <w:keepNext w:val="1"/>
      <w:keepLines w:val="1"/>
      <w:spacing w:before="240" w:lineRule="auto"/>
      <w:jc w:val="left"/>
    </w:pPr>
    <w:rPr>
      <w:color w:val="424242"/>
      <w:sz w:val="40"/>
      <w:szCs w:val="40"/>
    </w:rPr>
  </w:style>
  <w:style w:type="paragraph" w:styleId="Heading3">
    <w:name w:val="heading 3"/>
    <w:basedOn w:val="Normal"/>
    <w:next w:val="Normal"/>
    <w:pPr>
      <w:keepNext w:val="1"/>
      <w:keepLines w:val="1"/>
      <w:spacing w:before="240" w:lineRule="auto"/>
      <w:jc w:val="left"/>
    </w:pPr>
    <w:rPr>
      <w:color w:val="424242"/>
      <w:sz w:val="36"/>
      <w:szCs w:val="36"/>
    </w:rPr>
  </w:style>
  <w:style w:type="paragraph" w:styleId="Heading4">
    <w:name w:val="heading 4"/>
    <w:basedOn w:val="Normal"/>
    <w:next w:val="Normal"/>
    <w:pPr>
      <w:spacing w:after="240" w:before="240" w:lineRule="auto"/>
    </w:pPr>
    <w:rPr>
      <w:sz w:val="32"/>
      <w:szCs w:val="32"/>
    </w:rPr>
  </w:style>
  <w:style w:type="paragraph" w:styleId="Heading5">
    <w:name w:val="heading 5"/>
    <w:basedOn w:val="Normal"/>
    <w:next w:val="Normal"/>
    <w:pPr>
      <w:keepNext w:val="1"/>
      <w:keepLines w:val="1"/>
      <w:spacing w:after="0" w:before="40" w:lineRule="auto"/>
    </w:pPr>
    <w:rPr>
      <w:color w:val="639dcd"/>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paragraph" w:styleId="Intestazione">
    <w:name w:val="header"/>
    <w:link w:val="IntestazioneCarattere"/>
    <w:uiPriority w:val="99"/>
    <w:unhideWhenUsed w:val="1"/>
    <w:rsid w:val="00431BF2"/>
    <w:pPr>
      <w:tabs>
        <w:tab w:val="center" w:pos="4819"/>
        <w:tab w:val="right" w:pos="9638"/>
      </w:tabs>
    </w:pPr>
  </w:style>
  <w:style w:type="character" w:styleId="IntestazioneCarattere" w:customStyle="1">
    <w:name w:val="Intestazione Carattere"/>
    <w:basedOn w:val="Carpredefinitoparagrafo"/>
    <w:link w:val="Intestazione"/>
    <w:uiPriority w:val="99"/>
    <w:rsid w:val="00431BF2"/>
  </w:style>
  <w:style w:type="paragraph" w:styleId="Pidipagina">
    <w:name w:val="footer"/>
    <w:link w:val="PidipaginaCarattere"/>
    <w:uiPriority w:val="99"/>
    <w:unhideWhenUsed w:val="1"/>
    <w:rsid w:val="00431BF2"/>
    <w:pPr>
      <w:tabs>
        <w:tab w:val="center" w:pos="4819"/>
        <w:tab w:val="right" w:pos="9638"/>
      </w:tabs>
    </w:pPr>
  </w:style>
  <w:style w:type="character" w:styleId="PidipaginaCarattere" w:customStyle="1">
    <w:name w:val="Piè di pagina Carattere"/>
    <w:basedOn w:val="Carpredefinitoparagrafo"/>
    <w:link w:val="Pidipagina"/>
    <w:uiPriority w:val="99"/>
    <w:rsid w:val="00431BF2"/>
  </w:style>
  <w:style w:type="character" w:styleId="Titolo1Carattere" w:customStyle="1">
    <w:name w:val="Titolo 1 Carattere"/>
    <w:basedOn w:val="Carpredefinitoparagrafo"/>
    <w:uiPriority w:val="9"/>
    <w:rsid w:val="003D0C9B"/>
    <w:rPr>
      <w:rFonts w:asciiTheme="majorHAnsi" w:cstheme="majorBidi" w:eastAsiaTheme="majorEastAsia" w:hAnsiTheme="majorHAnsi"/>
      <w:color w:val="424242" w:themeColor="text1"/>
      <w:sz w:val="48"/>
      <w:szCs w:val="32"/>
    </w:rPr>
  </w:style>
  <w:style w:type="character" w:styleId="Titolo2Carattere" w:customStyle="1">
    <w:name w:val="Titolo 2 Carattere"/>
    <w:basedOn w:val="Carpredefinitoparagrafo"/>
    <w:uiPriority w:val="9"/>
    <w:rsid w:val="003D0C9B"/>
    <w:rPr>
      <w:rFonts w:asciiTheme="majorHAnsi" w:cstheme="majorBidi" w:eastAsiaTheme="majorEastAsia" w:hAnsiTheme="majorHAnsi"/>
      <w:color w:val="424242" w:themeColor="text1"/>
      <w:sz w:val="40"/>
      <w:szCs w:val="26"/>
    </w:rPr>
  </w:style>
  <w:style w:type="character" w:styleId="Titolo3Carattere" w:customStyle="1">
    <w:name w:val="Titolo 3 Carattere"/>
    <w:basedOn w:val="Carpredefinitoparagrafo"/>
    <w:uiPriority w:val="9"/>
    <w:rsid w:val="003D0C9B"/>
    <w:rPr>
      <w:rFonts w:asciiTheme="majorHAnsi" w:cstheme="majorBidi" w:eastAsiaTheme="majorEastAsia" w:hAnsiTheme="majorHAnsi"/>
      <w:color w:val="424242" w:themeColor="text1"/>
      <w:sz w:val="36"/>
    </w:rPr>
  </w:style>
  <w:style w:type="character" w:styleId="Titolo4Carattere" w:customStyle="1">
    <w:name w:val="Titolo 4 Carattere"/>
    <w:aliases w:val="Titolo grafico/tabella Carattere"/>
    <w:basedOn w:val="Carpredefinitoparagrafo"/>
    <w:uiPriority w:val="9"/>
    <w:rsid w:val="003D0C9B"/>
    <w:rPr>
      <w:sz w:val="32"/>
      <w:szCs w:val="36"/>
    </w:rPr>
  </w:style>
  <w:style w:type="character" w:styleId="Numeropagina">
    <w:name w:val="page number"/>
    <w:basedOn w:val="Carpredefinitoparagrafo"/>
    <w:uiPriority w:val="99"/>
    <w:semiHidden w:val="1"/>
    <w:unhideWhenUsed w:val="1"/>
    <w:rsid w:val="003D0C9B"/>
  </w:style>
  <w:style w:type="paragraph" w:styleId="Separatore" w:customStyle="1">
    <w:name w:val="Separatore"/>
    <w:qFormat w:val="1"/>
    <w:rsid w:val="003D0C9B"/>
    <w:rPr>
      <w:color w:val="ffffff" w:themeColor="background1"/>
      <w:sz w:val="44"/>
      <w:szCs w:val="44"/>
    </w:rPr>
  </w:style>
  <w:style w:type="paragraph" w:styleId="Paragrafoelenco">
    <w:name w:val="List Paragraph"/>
    <w:uiPriority w:val="34"/>
    <w:qFormat w:val="1"/>
    <w:rsid w:val="003D0C9B"/>
    <w:pPr>
      <w:numPr>
        <w:numId w:val="1"/>
      </w:numPr>
      <w:ind w:left="284" w:hanging="284"/>
      <w:contextualSpacing w:val="1"/>
    </w:pPr>
  </w:style>
  <w:style w:type="paragraph" w:styleId="Titolo0" w:customStyle="1">
    <w:name w:val="Titolo 0"/>
    <w:basedOn w:val="Separatore"/>
    <w:qFormat w:val="1"/>
    <w:rsid w:val="003D0C9B"/>
    <w:rPr>
      <w:color w:val="424242" w:themeColor="text1"/>
    </w:rPr>
  </w:style>
  <w:style w:type="paragraph" w:styleId="Sottotitolocopertina" w:customStyle="1">
    <w:name w:val="Sottotitolo copertina"/>
    <w:basedOn w:val="Separatore"/>
    <w:qFormat w:val="1"/>
    <w:rsid w:val="003D0C9B"/>
    <w:pPr>
      <w:spacing w:after="0" w:before="0"/>
      <w:jc w:val="right"/>
    </w:pPr>
    <w:rPr>
      <w:sz w:val="36"/>
      <w:szCs w:val="32"/>
    </w:rPr>
  </w:style>
  <w:style w:type="paragraph" w:styleId="Titolocopertina" w:customStyle="1">
    <w:name w:val="Titolo copertina"/>
    <w:basedOn w:val="Separatore"/>
    <w:qFormat w:val="1"/>
    <w:rsid w:val="003D0C9B"/>
    <w:pPr>
      <w:spacing w:after="0" w:before="0"/>
      <w:jc w:val="right"/>
    </w:pPr>
    <w:rPr>
      <w:sz w:val="56"/>
      <w:szCs w:val="56"/>
    </w:rPr>
  </w:style>
  <w:style w:type="table" w:styleId="Grigliatabella">
    <w:name w:val="Table Grid"/>
    <w:basedOn w:val="Tabellanormale"/>
    <w:uiPriority w:val="39"/>
    <w:rsid w:val="003D0C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eTotaletabellaDX" w:customStyle="1">
    <w:name w:val="Intestazione e Totale tabella DX"/>
    <w:qFormat w:val="1"/>
    <w:rsid w:val="003D0C9B"/>
    <w:pPr>
      <w:jc w:val="right"/>
    </w:pPr>
    <w:rPr>
      <w:b w:val="1"/>
      <w:bCs w:val="1"/>
      <w:sz w:val="24"/>
      <w:szCs w:val="36"/>
    </w:rPr>
  </w:style>
  <w:style w:type="paragraph" w:styleId="IntestazioneeTotaletabellaSX" w:customStyle="1">
    <w:name w:val="Intestazione e Totale tabella SX"/>
    <w:basedOn w:val="IntestazioneeTotaletabellaDX"/>
    <w:qFormat w:val="1"/>
    <w:rsid w:val="003D0C9B"/>
    <w:pPr>
      <w:jc w:val="left"/>
    </w:pPr>
  </w:style>
  <w:style w:type="character" w:styleId="Titolo5Carattere" w:customStyle="1">
    <w:name w:val="Titolo 5 Carattere"/>
    <w:basedOn w:val="Carpredefinitoparagrafo"/>
    <w:uiPriority w:val="9"/>
    <w:rsid w:val="00AB0142"/>
    <w:rPr>
      <w:rFonts w:asciiTheme="majorHAnsi" w:cstheme="majorBidi" w:eastAsiaTheme="majorEastAsia" w:hAnsiTheme="majorHAnsi"/>
      <w:color w:val="639dcd" w:themeColor="accent1" w:themeShade="0000BF"/>
      <w:sz w:val="20"/>
    </w:rPr>
  </w:style>
  <w:style w:type="paragraph" w:styleId="Corpotesto">
    <w:name w:val="Body Text"/>
    <w:link w:val="CorpotestoCarattere"/>
    <w:uiPriority w:val="1"/>
    <w:qFormat w:val="1"/>
    <w:rsid w:val="00AB0142"/>
    <w:pPr>
      <w:widowControl w:val="0"/>
      <w:autoSpaceDE w:val="0"/>
      <w:autoSpaceDN w:val="0"/>
      <w:spacing w:after="0" w:before="4"/>
      <w:ind w:left="40"/>
      <w:jc w:val="left"/>
    </w:pPr>
    <w:rPr>
      <w:sz w:val="22"/>
      <w:szCs w:val="22"/>
    </w:rPr>
  </w:style>
  <w:style w:type="character" w:styleId="CorpotestoCarattere" w:customStyle="1">
    <w:name w:val="Corpo testo Carattere"/>
    <w:basedOn w:val="Carpredefinitoparagrafo"/>
    <w:link w:val="Corpotesto"/>
    <w:uiPriority w:val="1"/>
    <w:rsid w:val="00AB0142"/>
    <w:rPr>
      <w:rFonts w:ascii="Arial" w:cs="Arial" w:eastAsia="Arial" w:hAnsi="Arial"/>
      <w:kern w:val="0"/>
      <w:sz w:val="22"/>
      <w:szCs w:val="22"/>
    </w:rPr>
  </w:style>
  <w:style w:type="paragraph" w:styleId="NormaleWeb">
    <w:name w:val="Normal (Web)"/>
    <w:uiPriority w:val="99"/>
    <w:semiHidden w:val="1"/>
    <w:unhideWhenUsed w:val="1"/>
    <w:rsid w:val="00960E3F"/>
    <w:pPr>
      <w:spacing w:after="100" w:afterAutospacing="1" w:before="100" w:beforeAutospacing="1"/>
      <w:jc w:val="left"/>
    </w:pPr>
    <w:rPr>
      <w:rFonts w:ascii="Times New Roman" w:cs="Times New Roman" w:eastAsia="Times New Roman" w:hAnsi="Times New Roman"/>
      <w:sz w:val="24"/>
      <w:szCs w:val="24"/>
      <w:lang w:val="it-IT"/>
    </w:r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character" w:styleId="citation-13" w:customStyle="1">
    <w:name w:val="citation-13"/>
    <w:basedOn w:val="Carpredefinitoparagrafo"/>
    <w:rsid w:val="00E66626"/>
  </w:style>
  <w:style w:type="character" w:styleId="citation-12" w:customStyle="1">
    <w:name w:val="citation-12"/>
    <w:basedOn w:val="Carpredefinitoparagrafo"/>
    <w:rsid w:val="00E66626"/>
  </w:style>
  <w:style w:type="character" w:styleId="citation-11" w:customStyle="1">
    <w:name w:val="citation-11"/>
    <w:basedOn w:val="Carpredefinitoparagrafo"/>
    <w:rsid w:val="00E66626"/>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municazione@bg.camcom.it" TargetMode="Externa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'Iscrizioni e cessazioni'!$D$1</c:f>
              <c:strCache>
                <c:ptCount val="1"/>
                <c:pt idx="0">
                  <c:v>Saldo</c:v>
                </c:pt>
              </c:strCache>
            </c:strRef>
          </c:tx>
          <c:spPr>
            <a:ln w="28575" cap="rnd">
              <a:solidFill>
                <a:schemeClr val="accent1"/>
              </a:solidFill>
              <a:round/>
            </a:ln>
            <a:effectLst/>
          </c:spPr>
          <c:marker>
            <c:symbol val="none"/>
          </c:marker>
          <c:dLbls>
            <c:dLbl>
              <c:idx val="0"/>
              <c:layout>
                <c:manualLayout>
                  <c:x val="-3.1664050728185171E-2"/>
                  <c:y val="-5.1856207228836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2C-41A9-9EFA-66C0045AC23B}"/>
                </c:ext>
              </c:extLst>
            </c:dLbl>
            <c:dLbl>
              <c:idx val="1"/>
              <c:layout>
                <c:manualLayout>
                  <c:x val="-3.06896368651094E-2"/>
                  <c:y val="5.31750698221372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2C-41A9-9EFA-66C0045AC23B}"/>
                </c:ext>
              </c:extLst>
            </c:dLbl>
            <c:dLbl>
              <c:idx val="2"/>
              <c:delete val="1"/>
              <c:extLst>
                <c:ext xmlns:c15="http://schemas.microsoft.com/office/drawing/2012/chart" uri="{CE6537A1-D6FC-4f65-9D91-7224C49458BB}"/>
                <c:ext xmlns:c16="http://schemas.microsoft.com/office/drawing/2014/chart" uri="{C3380CC4-5D6E-409C-BE32-E72D297353CC}">
                  <c16:uniqueId val="{00000002-C82C-41A9-9EFA-66C0045AC23B}"/>
                </c:ext>
              </c:extLst>
            </c:dLbl>
            <c:dLbl>
              <c:idx val="3"/>
              <c:delete val="1"/>
              <c:extLst>
                <c:ext xmlns:c15="http://schemas.microsoft.com/office/drawing/2012/chart" uri="{CE6537A1-D6FC-4f65-9D91-7224C49458BB}"/>
                <c:ext xmlns:c16="http://schemas.microsoft.com/office/drawing/2014/chart" uri="{C3380CC4-5D6E-409C-BE32-E72D297353CC}">
                  <c16:uniqueId val="{00000003-C82C-41A9-9EFA-66C0045AC23B}"/>
                </c:ext>
              </c:extLst>
            </c:dLbl>
            <c:dLbl>
              <c:idx val="4"/>
              <c:delete val="1"/>
              <c:extLst>
                <c:ext xmlns:c15="http://schemas.microsoft.com/office/drawing/2012/chart" uri="{CE6537A1-D6FC-4f65-9D91-7224C49458BB}"/>
                <c:ext xmlns:c16="http://schemas.microsoft.com/office/drawing/2014/chart" uri="{C3380CC4-5D6E-409C-BE32-E72D297353CC}">
                  <c16:uniqueId val="{00000004-C82C-41A9-9EFA-66C0045AC23B}"/>
                </c:ext>
              </c:extLst>
            </c:dLbl>
            <c:dLbl>
              <c:idx val="5"/>
              <c:layout>
                <c:manualLayout>
                  <c:x val="-2.7943561432804964E-2"/>
                  <c:y val="4.2467987979159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2C-41A9-9EFA-66C0045AC23B}"/>
                </c:ext>
              </c:extLst>
            </c:dLbl>
            <c:dLbl>
              <c:idx val="6"/>
              <c:delete val="1"/>
              <c:extLst>
                <c:ext xmlns:c15="http://schemas.microsoft.com/office/drawing/2012/chart" uri="{CE6537A1-D6FC-4f65-9D91-7224C49458BB}"/>
                <c:ext xmlns:c16="http://schemas.microsoft.com/office/drawing/2014/chart" uri="{C3380CC4-5D6E-409C-BE32-E72D297353CC}">
                  <c16:uniqueId val="{00000006-C82C-41A9-9EFA-66C0045AC23B}"/>
                </c:ext>
              </c:extLst>
            </c:dLbl>
            <c:dLbl>
              <c:idx val="7"/>
              <c:layout>
                <c:manualLayout>
                  <c:x val="5.587773657914962E-3"/>
                  <c:y val="-3.0212025195855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2C-41A9-9EFA-66C0045AC23B}"/>
                </c:ext>
              </c:extLst>
            </c:dLbl>
            <c:dLbl>
              <c:idx val="8"/>
              <c:delete val="1"/>
              <c:extLst>
                <c:ext xmlns:c15="http://schemas.microsoft.com/office/drawing/2012/chart" uri="{CE6537A1-D6FC-4f65-9D91-7224C49458BB}"/>
                <c:ext xmlns:c16="http://schemas.microsoft.com/office/drawing/2014/chart" uri="{C3380CC4-5D6E-409C-BE32-E72D297353CC}">
                  <c16:uniqueId val="{00000008-C82C-41A9-9EFA-66C0045AC23B}"/>
                </c:ext>
              </c:extLst>
            </c:dLbl>
            <c:dLbl>
              <c:idx val="9"/>
              <c:layout>
                <c:manualLayout>
                  <c:x val="-1.8672843625347549E-3"/>
                  <c:y val="2.08380970269107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82C-41A9-9EFA-66C0045AC23B}"/>
                </c:ext>
              </c:extLst>
            </c:dLbl>
            <c:dLbl>
              <c:idx val="10"/>
              <c:layout>
                <c:manualLayout>
                  <c:x val="1.8625912193050099E-3"/>
                  <c:y val="4.3689875381776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82C-41A9-9EFA-66C0045AC23B}"/>
                </c:ext>
              </c:extLst>
            </c:dLbl>
            <c:dLbl>
              <c:idx val="11"/>
              <c:layout>
                <c:manualLayout>
                  <c:x val="-6.3328101456370342E-2"/>
                  <c:y val="4.32135060240307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82C-41A9-9EFA-66C0045AC23B}"/>
                </c:ext>
              </c:extLst>
            </c:dLbl>
            <c:dLbl>
              <c:idx val="12"/>
              <c:delete val="1"/>
              <c:extLst>
                <c:ext xmlns:c15="http://schemas.microsoft.com/office/drawing/2012/chart" uri="{CE6537A1-D6FC-4f65-9D91-7224C49458BB}"/>
                <c:ext xmlns:c16="http://schemas.microsoft.com/office/drawing/2014/chart" uri="{C3380CC4-5D6E-409C-BE32-E72D297353CC}">
                  <c16:uniqueId val="{0000000C-C82C-41A9-9EFA-66C0045AC23B}"/>
                </c:ext>
              </c:extLst>
            </c:dLbl>
            <c:dLbl>
              <c:idx val="13"/>
              <c:delete val="1"/>
              <c:extLst>
                <c:ext xmlns:c15="http://schemas.microsoft.com/office/drawing/2012/chart" uri="{CE6537A1-D6FC-4f65-9D91-7224C49458BB}"/>
                <c:ext xmlns:c16="http://schemas.microsoft.com/office/drawing/2014/chart" uri="{C3380CC4-5D6E-409C-BE32-E72D297353CC}">
                  <c16:uniqueId val="{0000000D-C82C-41A9-9EFA-66C0045AC23B}"/>
                </c:ext>
              </c:extLst>
            </c:dLbl>
            <c:dLbl>
              <c:idx val="14"/>
              <c:layout>
                <c:manualLayout>
                  <c:x val="-2.1427718701207809E-2"/>
                  <c:y val="5.53755559910931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82C-41A9-9EFA-66C0045AC23B}"/>
                </c:ext>
              </c:extLst>
            </c:dLbl>
            <c:dLbl>
              <c:idx val="15"/>
              <c:layout>
                <c:manualLayout>
                  <c:x val="-2.048747678727374E-2"/>
                  <c:y val="-6.55510241550656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82C-41A9-9EFA-66C0045AC2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'Iscrizioni e cessazioni'!$A$2:$A$13</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'Iscrizioni e cessazioni'!$D$2:$D$13</c:f>
              <c:numCache>
                <c:formatCode>#,##0</c:formatCode>
                <c:ptCount val="12"/>
                <c:pt idx="0">
                  <c:v>139</c:v>
                </c:pt>
                <c:pt idx="1">
                  <c:v>148</c:v>
                </c:pt>
                <c:pt idx="2">
                  <c:v>-30</c:v>
                </c:pt>
                <c:pt idx="3">
                  <c:v>0</c:v>
                </c:pt>
                <c:pt idx="4">
                  <c:v>52</c:v>
                </c:pt>
                <c:pt idx="5">
                  <c:v>-54</c:v>
                </c:pt>
                <c:pt idx="6">
                  <c:v>-63</c:v>
                </c:pt>
                <c:pt idx="7">
                  <c:v>329</c:v>
                </c:pt>
                <c:pt idx="8">
                  <c:v>-220</c:v>
                </c:pt>
                <c:pt idx="9">
                  <c:v>-63</c:v>
                </c:pt>
                <c:pt idx="10">
                  <c:v>13</c:v>
                </c:pt>
                <c:pt idx="11">
                  <c:v>78</c:v>
                </c:pt>
              </c:numCache>
            </c:numRef>
          </c:val>
          <c:smooth val="0"/>
          <c:extLst>
            <c:ext xmlns:c16="http://schemas.microsoft.com/office/drawing/2014/chart" uri="{C3380CC4-5D6E-409C-BE32-E72D297353CC}">
              <c16:uniqueId val="{00000010-C82C-41A9-9EFA-66C0045AC23B}"/>
            </c:ext>
          </c:extLst>
        </c:ser>
        <c:dLbls>
          <c:showLegendKey val="0"/>
          <c:showVal val="0"/>
          <c:showCatName val="0"/>
          <c:showSerName val="0"/>
          <c:showPercent val="0"/>
          <c:showBubbleSize val="0"/>
        </c:dLbls>
        <c:smooth val="0"/>
        <c:axId val="257048576"/>
        <c:axId val="257050112"/>
      </c:lineChart>
      <c:catAx>
        <c:axId val="257048576"/>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57050112"/>
        <c:crosses val="autoZero"/>
        <c:auto val="1"/>
        <c:lblAlgn val="ctr"/>
        <c:lblOffset val="100"/>
        <c:noMultiLvlLbl val="0"/>
      </c:catAx>
      <c:valAx>
        <c:axId val="257050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txPr>
          <a:bodyPr/>
          <a:lstStyle/>
          <a:p>
            <a:pPr>
              <a:defRPr sz="900"/>
            </a:pPr>
            <a:endParaRPr lang="it-IT"/>
          </a:p>
        </c:txPr>
        <c:crossAx val="25704857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338887736083154"/>
          <c:y val="4.4359514655469147E-2"/>
          <c:w val="0.86510633555349348"/>
          <c:h val="0.86208922200333538"/>
        </c:manualLayout>
      </c:layout>
      <c:lineChart>
        <c:grouping val="standard"/>
        <c:varyColors val="0"/>
        <c:ser>
          <c:idx val="0"/>
          <c:order val="0"/>
          <c:tx>
            <c:strRef>
              <c:f>'Iscrizioni e cessazioni'!$B$1</c:f>
              <c:strCache>
                <c:ptCount val="1"/>
                <c:pt idx="0">
                  <c:v>Iscrizioni</c:v>
                </c:pt>
              </c:strCache>
            </c:strRef>
          </c:tx>
          <c:spPr>
            <a:ln w="28575" cap="rnd">
              <a:solidFill>
                <a:schemeClr val="accent2"/>
              </a:solidFill>
              <a:round/>
            </a:ln>
            <a:effectLst/>
          </c:spPr>
          <c:marker>
            <c:symbol val="none"/>
          </c:marker>
          <c:dLbls>
            <c:dLbl>
              <c:idx val="0"/>
              <c:layout>
                <c:manualLayout>
                  <c:x val="-3.3116355609455896E-2"/>
                  <c:y val="-7.0930186997206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09-408E-8D4A-8DBF5D81258C}"/>
                </c:ext>
              </c:extLst>
            </c:dLbl>
            <c:dLbl>
              <c:idx val="1"/>
              <c:layout>
                <c:manualLayout>
                  <c:x val="-3.5835325673979567E-3"/>
                  <c:y val="-3.2900265242197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09-408E-8D4A-8DBF5D81258C}"/>
                </c:ext>
              </c:extLst>
            </c:dLbl>
            <c:dLbl>
              <c:idx val="2"/>
              <c:delete val="1"/>
              <c:extLst>
                <c:ext xmlns:c15="http://schemas.microsoft.com/office/drawing/2012/chart" uri="{CE6537A1-D6FC-4f65-9D91-7224C49458BB}"/>
                <c:ext xmlns:c16="http://schemas.microsoft.com/office/drawing/2014/chart" uri="{C3380CC4-5D6E-409C-BE32-E72D297353CC}">
                  <c16:uniqueId val="{00000002-A309-408E-8D4A-8DBF5D81258C}"/>
                </c:ext>
              </c:extLst>
            </c:dLbl>
            <c:dLbl>
              <c:idx val="3"/>
              <c:delete val="1"/>
              <c:extLst>
                <c:ext xmlns:c15="http://schemas.microsoft.com/office/drawing/2012/chart" uri="{CE6537A1-D6FC-4f65-9D91-7224C49458BB}"/>
                <c:ext xmlns:c16="http://schemas.microsoft.com/office/drawing/2014/chart" uri="{C3380CC4-5D6E-409C-BE32-E72D297353CC}">
                  <c16:uniqueId val="{00000003-A309-408E-8D4A-8DBF5D81258C}"/>
                </c:ext>
              </c:extLst>
            </c:dLbl>
            <c:dLbl>
              <c:idx val="4"/>
              <c:delete val="1"/>
              <c:extLst>
                <c:ext xmlns:c15="http://schemas.microsoft.com/office/drawing/2012/chart" uri="{CE6537A1-D6FC-4f65-9D91-7224C49458BB}"/>
                <c:ext xmlns:c16="http://schemas.microsoft.com/office/drawing/2014/chart" uri="{C3380CC4-5D6E-409C-BE32-E72D297353CC}">
                  <c16:uniqueId val="{00000004-A309-408E-8D4A-8DBF5D81258C}"/>
                </c:ext>
              </c:extLst>
            </c:dLbl>
            <c:dLbl>
              <c:idx val="5"/>
              <c:delete val="1"/>
              <c:extLst>
                <c:ext xmlns:c15="http://schemas.microsoft.com/office/drawing/2012/chart" uri="{CE6537A1-D6FC-4f65-9D91-7224C49458BB}"/>
                <c:ext xmlns:c16="http://schemas.microsoft.com/office/drawing/2014/chart" uri="{C3380CC4-5D6E-409C-BE32-E72D297353CC}">
                  <c16:uniqueId val="{00000005-A309-408E-8D4A-8DBF5D81258C}"/>
                </c:ext>
              </c:extLst>
            </c:dLbl>
            <c:dLbl>
              <c:idx val="6"/>
              <c:layout>
                <c:manualLayout>
                  <c:x val="-4.6585923376172941E-2"/>
                  <c:y val="4.1125331552746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09-408E-8D4A-8DBF5D81258C}"/>
                </c:ext>
              </c:extLst>
            </c:dLbl>
            <c:dLbl>
              <c:idx val="7"/>
              <c:layout>
                <c:manualLayout>
                  <c:x val="-4.3002390808775083E-2"/>
                  <c:y val="-4.5237864708021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09-408E-8D4A-8DBF5D81258C}"/>
                </c:ext>
              </c:extLst>
            </c:dLbl>
            <c:dLbl>
              <c:idx val="8"/>
              <c:layout>
                <c:manualLayout>
                  <c:x val="-2.1501195404387542E-2"/>
                  <c:y val="5.3462931018570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309-408E-8D4A-8DBF5D81258C}"/>
                </c:ext>
              </c:extLst>
            </c:dLbl>
            <c:dLbl>
              <c:idx val="9"/>
              <c:delete val="1"/>
              <c:extLst>
                <c:ext xmlns:c15="http://schemas.microsoft.com/office/drawing/2012/chart" uri="{CE6537A1-D6FC-4f65-9D91-7224C49458BB}"/>
                <c:ext xmlns:c16="http://schemas.microsoft.com/office/drawing/2014/chart" uri="{C3380CC4-5D6E-409C-BE32-E72D297353CC}">
                  <c16:uniqueId val="{00000009-A309-408E-8D4A-8DBF5D81258C}"/>
                </c:ext>
              </c:extLst>
            </c:dLbl>
            <c:dLbl>
              <c:idx val="10"/>
              <c:delete val="1"/>
              <c:extLst>
                <c:ext xmlns:c15="http://schemas.microsoft.com/office/drawing/2012/chart" uri="{CE6537A1-D6FC-4f65-9D91-7224C49458BB}"/>
                <c:ext xmlns:c16="http://schemas.microsoft.com/office/drawing/2014/chart" uri="{C3380CC4-5D6E-409C-BE32-E72D297353CC}">
                  <c16:uniqueId val="{0000000A-A309-408E-8D4A-8DBF5D81258C}"/>
                </c:ext>
              </c:extLst>
            </c:dLbl>
            <c:dLbl>
              <c:idx val="11"/>
              <c:layout>
                <c:manualLayout>
                  <c:x val="-3.5835325673979235E-2"/>
                  <c:y val="-4.9350397863296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309-408E-8D4A-8DBF5D81258C}"/>
                </c:ext>
              </c:extLst>
            </c:dLbl>
            <c:dLbl>
              <c:idx val="12"/>
              <c:delete val="1"/>
              <c:extLst>
                <c:ext xmlns:c15="http://schemas.microsoft.com/office/drawing/2012/chart" uri="{CE6537A1-D6FC-4f65-9D91-7224C49458BB}"/>
                <c:ext xmlns:c16="http://schemas.microsoft.com/office/drawing/2014/chart" uri="{C3380CC4-5D6E-409C-BE32-E72D297353CC}">
                  <c16:uniqueId val="{0000000C-A309-408E-8D4A-8DBF5D81258C}"/>
                </c:ext>
              </c:extLst>
            </c:dLbl>
            <c:dLbl>
              <c:idx val="13"/>
              <c:delete val="1"/>
              <c:extLst>
                <c:ext xmlns:c15="http://schemas.microsoft.com/office/drawing/2012/chart" uri="{CE6537A1-D6FC-4f65-9D91-7224C49458BB}"/>
                <c:ext xmlns:c16="http://schemas.microsoft.com/office/drawing/2014/chart" uri="{C3380CC4-5D6E-409C-BE32-E72D297353CC}">
                  <c16:uniqueId val="{0000000D-A309-408E-8D4A-8DBF5D81258C}"/>
                </c:ext>
              </c:extLst>
            </c:dLbl>
            <c:dLbl>
              <c:idx val="14"/>
              <c:layout>
                <c:manualLayout>
                  <c:x val="-3.4043559390280274E-2"/>
                  <c:y val="-5.3462913706129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309-408E-8D4A-8DBF5D81258C}"/>
                </c:ext>
              </c:extLst>
            </c:dLbl>
            <c:dLbl>
              <c:idx val="15"/>
              <c:layout>
                <c:manualLayout>
                  <c:x val="-2.5250783791936147E-2"/>
                  <c:y val="0.119263422882904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309-408E-8D4A-8DBF5D8125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'Iscrizioni e cessazioni'!$A$2:$A$13</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'Iscrizioni e cessazioni'!$B$2:$B$13</c:f>
              <c:numCache>
                <c:formatCode>#,##0</c:formatCode>
                <c:ptCount val="12"/>
                <c:pt idx="0">
                  <c:v>1390</c:v>
                </c:pt>
                <c:pt idx="1">
                  <c:v>1443</c:v>
                </c:pt>
                <c:pt idx="2">
                  <c:v>1316</c:v>
                </c:pt>
                <c:pt idx="3">
                  <c:v>1312</c:v>
                </c:pt>
                <c:pt idx="4">
                  <c:v>1317</c:v>
                </c:pt>
                <c:pt idx="5">
                  <c:v>1352</c:v>
                </c:pt>
                <c:pt idx="6">
                  <c:v>1107</c:v>
                </c:pt>
                <c:pt idx="7">
                  <c:v>1324</c:v>
                </c:pt>
                <c:pt idx="8">
                  <c:v>1219</c:v>
                </c:pt>
                <c:pt idx="9">
                  <c:v>1266</c:v>
                </c:pt>
                <c:pt idx="10">
                  <c:v>1332</c:v>
                </c:pt>
                <c:pt idx="11">
                  <c:v>1392</c:v>
                </c:pt>
              </c:numCache>
            </c:numRef>
          </c:val>
          <c:smooth val="0"/>
          <c:extLst>
            <c:ext xmlns:c16="http://schemas.microsoft.com/office/drawing/2014/chart" uri="{C3380CC4-5D6E-409C-BE32-E72D297353CC}">
              <c16:uniqueId val="{00000010-A309-408E-8D4A-8DBF5D81258C}"/>
            </c:ext>
          </c:extLst>
        </c:ser>
        <c:ser>
          <c:idx val="1"/>
          <c:order val="1"/>
          <c:tx>
            <c:strRef>
              <c:f>'Iscrizioni e cessazioni'!$C$1</c:f>
              <c:strCache>
                <c:ptCount val="1"/>
                <c:pt idx="0">
                  <c:v>Cessazioni</c:v>
                </c:pt>
              </c:strCache>
            </c:strRef>
          </c:tx>
          <c:spPr>
            <a:ln w="28575" cap="rnd">
              <a:solidFill>
                <a:schemeClr val="accent4"/>
              </a:solidFill>
              <a:round/>
            </a:ln>
            <a:effectLst/>
          </c:spPr>
          <c:marker>
            <c:symbol val="none"/>
          </c:marker>
          <c:dLbls>
            <c:dLbl>
              <c:idx val="0"/>
              <c:layout>
                <c:manualLayout>
                  <c:x val="-3.0154580050897467E-2"/>
                  <c:y val="4.47903288794936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09-408E-8D4A-8DBF5D81258C}"/>
                </c:ext>
              </c:extLst>
            </c:dLbl>
            <c:dLbl>
              <c:idx val="1"/>
              <c:delete val="1"/>
              <c:extLst>
                <c:ext xmlns:c15="http://schemas.microsoft.com/office/drawing/2012/chart" uri="{CE6537A1-D6FC-4f65-9D91-7224C49458BB}"/>
                <c:ext xmlns:c16="http://schemas.microsoft.com/office/drawing/2014/chart" uri="{C3380CC4-5D6E-409C-BE32-E72D297353CC}">
                  <c16:uniqueId val="{00000012-A309-408E-8D4A-8DBF5D81258C}"/>
                </c:ext>
              </c:extLst>
            </c:dLbl>
            <c:dLbl>
              <c:idx val="2"/>
              <c:layout>
                <c:manualLayout>
                  <c:x val="-3.5835325673979237E-3"/>
                  <c:y val="-4.1125331552746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309-408E-8D4A-8DBF5D81258C}"/>
                </c:ext>
              </c:extLst>
            </c:dLbl>
            <c:dLbl>
              <c:idx val="3"/>
              <c:delete val="1"/>
              <c:extLst>
                <c:ext xmlns:c15="http://schemas.microsoft.com/office/drawing/2012/chart" uri="{CE6537A1-D6FC-4f65-9D91-7224C49458BB}"/>
                <c:ext xmlns:c16="http://schemas.microsoft.com/office/drawing/2014/chart" uri="{C3380CC4-5D6E-409C-BE32-E72D297353CC}">
                  <c16:uniqueId val="{00000014-A309-408E-8D4A-8DBF5D81258C}"/>
                </c:ext>
              </c:extLst>
            </c:dLbl>
            <c:dLbl>
              <c:idx val="4"/>
              <c:delete val="1"/>
              <c:extLst>
                <c:ext xmlns:c15="http://schemas.microsoft.com/office/drawing/2012/chart" uri="{CE6537A1-D6FC-4f65-9D91-7224C49458BB}"/>
                <c:ext xmlns:c16="http://schemas.microsoft.com/office/drawing/2014/chart" uri="{C3380CC4-5D6E-409C-BE32-E72D297353CC}">
                  <c16:uniqueId val="{00000015-A309-408E-8D4A-8DBF5D81258C}"/>
                </c:ext>
              </c:extLst>
            </c:dLbl>
            <c:dLbl>
              <c:idx val="5"/>
              <c:delete val="1"/>
              <c:extLst>
                <c:ext xmlns:c15="http://schemas.microsoft.com/office/drawing/2012/chart" uri="{CE6537A1-D6FC-4f65-9D91-7224C49458BB}"/>
                <c:ext xmlns:c16="http://schemas.microsoft.com/office/drawing/2014/chart" uri="{C3380CC4-5D6E-409C-BE32-E72D297353CC}">
                  <c16:uniqueId val="{00000016-A309-408E-8D4A-8DBF5D81258C}"/>
                </c:ext>
              </c:extLst>
            </c:dLbl>
            <c:dLbl>
              <c:idx val="6"/>
              <c:delete val="1"/>
              <c:extLst>
                <c:ext xmlns:c15="http://schemas.microsoft.com/office/drawing/2012/chart" uri="{CE6537A1-D6FC-4f65-9D91-7224C49458BB}"/>
                <c:ext xmlns:c16="http://schemas.microsoft.com/office/drawing/2014/chart" uri="{C3380CC4-5D6E-409C-BE32-E72D297353CC}">
                  <c16:uniqueId val="{00000017-A309-408E-8D4A-8DBF5D81258C}"/>
                </c:ext>
              </c:extLst>
            </c:dLbl>
            <c:dLbl>
              <c:idx val="7"/>
              <c:layout>
                <c:manualLayout>
                  <c:x val="-2.6876494255484426E-2"/>
                  <c:y val="4.1125331552746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309-408E-8D4A-8DBF5D81258C}"/>
                </c:ext>
              </c:extLst>
            </c:dLbl>
            <c:dLbl>
              <c:idx val="8"/>
              <c:layout>
                <c:manualLayout>
                  <c:x val="-3.7627091957678195E-2"/>
                  <c:y val="-4.5237850059032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309-408E-8D4A-8DBF5D81258C}"/>
                </c:ext>
              </c:extLst>
            </c:dLbl>
            <c:dLbl>
              <c:idx val="9"/>
              <c:layout>
                <c:manualLayout>
                  <c:x val="-1.2542363985892733E-2"/>
                  <c:y val="-4.9350397863296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309-408E-8D4A-8DBF5D81258C}"/>
                </c:ext>
              </c:extLst>
            </c:dLbl>
            <c:dLbl>
              <c:idx val="10"/>
              <c:delete val="1"/>
              <c:extLst>
                <c:ext xmlns:c15="http://schemas.microsoft.com/office/drawing/2012/chart" uri="{CE6537A1-D6FC-4f65-9D91-7224C49458BB}"/>
                <c:ext xmlns:c16="http://schemas.microsoft.com/office/drawing/2014/chart" uri="{C3380CC4-5D6E-409C-BE32-E72D297353CC}">
                  <c16:uniqueId val="{0000001B-A309-408E-8D4A-8DBF5D81258C}"/>
                </c:ext>
              </c:extLst>
            </c:dLbl>
            <c:dLbl>
              <c:idx val="11"/>
              <c:layout>
                <c:manualLayout>
                  <c:x val="-3.4043559390280406E-2"/>
                  <c:y val="6.1687997329120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309-408E-8D4A-8DBF5D81258C}"/>
                </c:ext>
              </c:extLst>
            </c:dLbl>
            <c:dLbl>
              <c:idx val="12"/>
              <c:delete val="1"/>
              <c:extLst>
                <c:ext xmlns:c15="http://schemas.microsoft.com/office/drawing/2012/chart" uri="{CE6537A1-D6FC-4f65-9D91-7224C49458BB}"/>
                <c:ext xmlns:c16="http://schemas.microsoft.com/office/drawing/2014/chart" uri="{C3380CC4-5D6E-409C-BE32-E72D297353CC}">
                  <c16:uniqueId val="{0000001D-A309-408E-8D4A-8DBF5D81258C}"/>
                </c:ext>
              </c:extLst>
            </c:dLbl>
            <c:dLbl>
              <c:idx val="13"/>
              <c:delete val="1"/>
              <c:extLst>
                <c:ext xmlns:c15="http://schemas.microsoft.com/office/drawing/2012/chart" uri="{CE6537A1-D6FC-4f65-9D91-7224C49458BB}"/>
                <c:ext xmlns:c16="http://schemas.microsoft.com/office/drawing/2014/chart" uri="{C3380CC4-5D6E-409C-BE32-E72D297353CC}">
                  <c16:uniqueId val="{0000001E-A309-408E-8D4A-8DBF5D81258C}"/>
                </c:ext>
              </c:extLst>
            </c:dLbl>
            <c:dLbl>
              <c:idx val="14"/>
              <c:layout>
                <c:manualLayout>
                  <c:x val="-2.6876494255484426E-2"/>
                  <c:y val="4.1125318235484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309-408E-8D4A-8DBF5D81258C}"/>
                </c:ext>
              </c:extLst>
            </c:dLbl>
            <c:dLbl>
              <c:idx val="15"/>
              <c:layout>
                <c:manualLayout>
                  <c:x val="-6.6455200622801164E-2"/>
                  <c:y val="-1.6897648473732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A309-408E-8D4A-8DBF5D81258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'Iscrizioni e cessazioni'!$A$2:$A$13</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'Iscrizioni e cessazioni'!$C$2:$C$13</c:f>
              <c:numCache>
                <c:formatCode>#,##0</c:formatCode>
                <c:ptCount val="12"/>
                <c:pt idx="0">
                  <c:v>1251</c:v>
                </c:pt>
                <c:pt idx="1">
                  <c:v>1295</c:v>
                </c:pt>
                <c:pt idx="2">
                  <c:v>1346</c:v>
                </c:pt>
                <c:pt idx="3">
                  <c:v>1312</c:v>
                </c:pt>
                <c:pt idx="4">
                  <c:v>1265</c:v>
                </c:pt>
                <c:pt idx="5">
                  <c:v>1406</c:v>
                </c:pt>
                <c:pt idx="6">
                  <c:v>1170</c:v>
                </c:pt>
                <c:pt idx="7">
                  <c:v>995</c:v>
                </c:pt>
                <c:pt idx="8">
                  <c:v>1439</c:v>
                </c:pt>
                <c:pt idx="9">
                  <c:v>1329</c:v>
                </c:pt>
                <c:pt idx="10">
                  <c:v>1319</c:v>
                </c:pt>
                <c:pt idx="11">
                  <c:v>1314</c:v>
                </c:pt>
              </c:numCache>
            </c:numRef>
          </c:val>
          <c:smooth val="0"/>
          <c:extLst>
            <c:ext xmlns:c16="http://schemas.microsoft.com/office/drawing/2014/chart" uri="{C3380CC4-5D6E-409C-BE32-E72D297353CC}">
              <c16:uniqueId val="{00000021-A309-408E-8D4A-8DBF5D81258C}"/>
            </c:ext>
          </c:extLst>
        </c:ser>
        <c:dLbls>
          <c:showLegendKey val="0"/>
          <c:showVal val="0"/>
          <c:showCatName val="0"/>
          <c:showSerName val="0"/>
          <c:showPercent val="0"/>
          <c:showBubbleSize val="0"/>
        </c:dLbls>
        <c:smooth val="0"/>
        <c:axId val="257174144"/>
        <c:axId val="257208704"/>
        <c:extLst>
          <c:ext xmlns:c15="http://schemas.microsoft.com/office/drawing/2012/chart" uri="{02D57815-91ED-43cb-92C2-25804820EDAC}">
            <c15:filteredLineSeries>
              <c15:ser>
                <c:idx val="2"/>
                <c:order val="2"/>
                <c:tx>
                  <c:strRef>
                    <c:extLst>
                      <c:ext uri="{02D57815-91ED-43cb-92C2-25804820EDAC}">
                        <c15:formulaRef>
                          <c15:sqref>'Iscrizioni e cessazioni'!$B$1</c15:sqref>
                        </c15:formulaRef>
                      </c:ext>
                    </c:extLst>
                    <c:strCache>
                      <c:ptCount val="1"/>
                      <c:pt idx="0">
                        <c:v>Iscrizioni</c:v>
                      </c:pt>
                    </c:strCache>
                  </c:strRef>
                </c:tx>
                <c:spPr>
                  <a:ln w="28575" cap="rnd">
                    <a:solidFill>
                      <a:schemeClr val="accent2"/>
                    </a:solidFill>
                    <a:round/>
                  </a:ln>
                  <a:effectLst/>
                </c:spPr>
                <c:marker>
                  <c:symbol val="none"/>
                </c:marker>
                <c:cat>
                  <c:numRef>
                    <c:extLst>
                      <c:ext uri="{02D57815-91ED-43cb-92C2-25804820EDAC}">
                        <c15:formulaRef>
                          <c15:sqref>'Iscrizioni e cessazioni'!$A$2:$A$13</c15:sqref>
                        </c15:formulaRef>
                      </c:ext>
                    </c:extLst>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extLst>
                      <c:ext uri="{02D57815-91ED-43cb-92C2-25804820EDAC}">
                        <c15:formulaRef>
                          <c15:sqref>'Iscrizioni e cessazioni'!$B$2:$B$13</c15:sqref>
                        </c15:formulaRef>
                      </c:ext>
                    </c:extLst>
                    <c:numCache>
                      <c:formatCode>#,##0</c:formatCode>
                      <c:ptCount val="12"/>
                      <c:pt idx="0">
                        <c:v>1390</c:v>
                      </c:pt>
                      <c:pt idx="1">
                        <c:v>1443</c:v>
                      </c:pt>
                      <c:pt idx="2">
                        <c:v>1316</c:v>
                      </c:pt>
                      <c:pt idx="3">
                        <c:v>1312</c:v>
                      </c:pt>
                      <c:pt idx="4">
                        <c:v>1317</c:v>
                      </c:pt>
                      <c:pt idx="5">
                        <c:v>1352</c:v>
                      </c:pt>
                      <c:pt idx="6">
                        <c:v>1107</c:v>
                      </c:pt>
                      <c:pt idx="7">
                        <c:v>1324</c:v>
                      </c:pt>
                      <c:pt idx="8">
                        <c:v>1219</c:v>
                      </c:pt>
                      <c:pt idx="9">
                        <c:v>1266</c:v>
                      </c:pt>
                      <c:pt idx="10">
                        <c:v>1332</c:v>
                      </c:pt>
                      <c:pt idx="11">
                        <c:v>1392</c:v>
                      </c:pt>
                    </c:numCache>
                  </c:numRef>
                </c:val>
                <c:smooth val="0"/>
                <c:extLst>
                  <c:ext xmlns:c16="http://schemas.microsoft.com/office/drawing/2014/chart" uri="{C3380CC4-5D6E-409C-BE32-E72D297353CC}">
                    <c16:uniqueId val="{00000022-A309-408E-8D4A-8DBF5D81258C}"/>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'Iscrizioni e cessazioni'!$C$1</c15:sqref>
                        </c15:formulaRef>
                      </c:ext>
                    </c:extLst>
                    <c:strCache>
                      <c:ptCount val="1"/>
                      <c:pt idx="0">
                        <c:v>Cessazioni</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'Iscrizioni e cessazioni'!$A$2:$A$13</c15:sqref>
                        </c15:formulaRef>
                      </c:ext>
                    </c:extLst>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extLst xmlns:c15="http://schemas.microsoft.com/office/drawing/2012/chart">
                      <c:ext xmlns:c15="http://schemas.microsoft.com/office/drawing/2012/chart" uri="{02D57815-91ED-43cb-92C2-25804820EDAC}">
                        <c15:formulaRef>
                          <c15:sqref>'Iscrizioni e cessazioni'!$C$2:$C$13</c15:sqref>
                        </c15:formulaRef>
                      </c:ext>
                    </c:extLst>
                    <c:numCache>
                      <c:formatCode>#,##0</c:formatCode>
                      <c:ptCount val="12"/>
                      <c:pt idx="0">
                        <c:v>1251</c:v>
                      </c:pt>
                      <c:pt idx="1">
                        <c:v>1295</c:v>
                      </c:pt>
                      <c:pt idx="2">
                        <c:v>1346</c:v>
                      </c:pt>
                      <c:pt idx="3">
                        <c:v>1312</c:v>
                      </c:pt>
                      <c:pt idx="4">
                        <c:v>1265</c:v>
                      </c:pt>
                      <c:pt idx="5">
                        <c:v>1406</c:v>
                      </c:pt>
                      <c:pt idx="6">
                        <c:v>1170</c:v>
                      </c:pt>
                      <c:pt idx="7">
                        <c:v>995</c:v>
                      </c:pt>
                      <c:pt idx="8">
                        <c:v>1439</c:v>
                      </c:pt>
                      <c:pt idx="9">
                        <c:v>1329</c:v>
                      </c:pt>
                      <c:pt idx="10">
                        <c:v>1319</c:v>
                      </c:pt>
                      <c:pt idx="11">
                        <c:v>1314</c:v>
                      </c:pt>
                    </c:numCache>
                  </c:numRef>
                </c:val>
                <c:smooth val="0"/>
                <c:extLst xmlns:c15="http://schemas.microsoft.com/office/drawing/2012/chart">
                  <c:ext xmlns:c16="http://schemas.microsoft.com/office/drawing/2014/chart" uri="{C3380CC4-5D6E-409C-BE32-E72D297353CC}">
                    <c16:uniqueId val="{00000023-A309-408E-8D4A-8DBF5D81258C}"/>
                  </c:ext>
                </c:extLst>
              </c15:ser>
            </c15:filteredLineSeries>
          </c:ext>
        </c:extLst>
      </c:lineChart>
      <c:catAx>
        <c:axId val="25717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57208704"/>
        <c:crosses val="autoZero"/>
        <c:auto val="1"/>
        <c:lblAlgn val="ctr"/>
        <c:lblOffset val="100"/>
        <c:noMultiLvlLbl val="0"/>
      </c:catAx>
      <c:valAx>
        <c:axId val="257208704"/>
        <c:scaling>
          <c:orientation val="minMax"/>
          <c:max val="1600"/>
          <c:min val="900"/>
        </c:scaling>
        <c:delete val="0"/>
        <c:axPos val="l"/>
        <c:majorGridlines/>
        <c:numFmt formatCode="#,##0" sourceLinked="1"/>
        <c:majorTickMark val="out"/>
        <c:minorTickMark val="none"/>
        <c:tickLblPos val="nextTo"/>
        <c:txPr>
          <a:bodyPr/>
          <a:lstStyle/>
          <a:p>
            <a:pPr>
              <a:defRPr sz="900"/>
            </a:pPr>
            <a:endParaRPr lang="it-IT"/>
          </a:p>
        </c:txPr>
        <c:crossAx val="257174144"/>
        <c:crosses val="autoZero"/>
        <c:crossBetween val="between"/>
        <c:majorUnit val="100"/>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2">
    <c:autoUpdate val="0"/>
  </c:externalData>
</c:chartSpace>
</file>

<file path=word/theme/theme1.xml><?xml version="1.0" encoding="utf-8"?>
<a:theme xmlns:a="http://schemas.openxmlformats.org/drawingml/2006/main" name="Tema di Office">
  <a:themeElements>
    <a:clrScheme name="CCIAA Corporate">
      <a:dk1>
        <a:srgbClr val="424242"/>
      </a:dk1>
      <a:lt1>
        <a:srgbClr val="FFFFFF"/>
      </a:lt1>
      <a:dk2>
        <a:srgbClr val="424242"/>
      </a:dk2>
      <a:lt2>
        <a:srgbClr val="FFF8ED"/>
      </a:lt2>
      <a:accent1>
        <a:srgbClr val="B1CEE6"/>
      </a:accent1>
      <a:accent2>
        <a:srgbClr val="0079B9"/>
      </a:accent2>
      <a:accent3>
        <a:srgbClr val="205176"/>
      </a:accent3>
      <a:accent4>
        <a:srgbClr val="B5C69E"/>
      </a:accent4>
      <a:accent5>
        <a:srgbClr val="798956"/>
      </a:accent5>
      <a:accent6>
        <a:srgbClr val="405E2B"/>
      </a:accent6>
      <a:hlink>
        <a:srgbClr val="414141"/>
      </a:hlink>
      <a:folHlink>
        <a:srgbClr val="0079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ciaa">
    <a:dk1>
      <a:sysClr val="windowText" lastClr="000000"/>
    </a:dk1>
    <a:lt1>
      <a:sysClr val="window" lastClr="FFFFFF"/>
    </a:lt1>
    <a:dk2>
      <a:srgbClr val="1F497D"/>
    </a:dk2>
    <a:lt2>
      <a:srgbClr val="EEECE1"/>
    </a:lt2>
    <a:accent1>
      <a:srgbClr val="007FB9"/>
    </a:accent1>
    <a:accent2>
      <a:srgbClr val="004868"/>
    </a:accent2>
    <a:accent3>
      <a:srgbClr val="B0CFE7"/>
    </a:accent3>
    <a:accent4>
      <a:srgbClr val="B5C69E"/>
    </a:accent4>
    <a:accent5>
      <a:srgbClr val="405E2B"/>
    </a:accent5>
    <a:accent6>
      <a:srgbClr val="8F8F8D"/>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ciaa">
    <a:dk1>
      <a:sysClr val="windowText" lastClr="000000"/>
    </a:dk1>
    <a:lt1>
      <a:sysClr val="window" lastClr="FFFFFF"/>
    </a:lt1>
    <a:dk2>
      <a:srgbClr val="1F497D"/>
    </a:dk2>
    <a:lt2>
      <a:srgbClr val="EEECE1"/>
    </a:lt2>
    <a:accent1>
      <a:srgbClr val="007FB9"/>
    </a:accent1>
    <a:accent2>
      <a:srgbClr val="004868"/>
    </a:accent2>
    <a:accent3>
      <a:srgbClr val="B0CFE7"/>
    </a:accent3>
    <a:accent4>
      <a:srgbClr val="B5C69E"/>
    </a:accent4>
    <a:accent5>
      <a:srgbClr val="405E2B"/>
    </a:accent5>
    <a:accent6>
      <a:srgbClr val="8F8F8D"/>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YjROCaOJ75PfgU4hFiI22Hlag==">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2026-02-25T12:18:00Z</dcterms:created>
  <dc:creator>Microsoft Office User</dc:creator>
</cp:coreProperties>
</file>