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1C007" w14:textId="77777777" w:rsidR="006050A4" w:rsidRDefault="006050A4" w:rsidP="008E75C6">
      <w:pPr>
        <w:jc w:val="left"/>
        <w:rPr>
          <w:rFonts w:ascii="Calibri" w:hAnsi="Calibri" w:cs="Calibri"/>
          <w:b/>
          <w:szCs w:val="24"/>
        </w:rPr>
      </w:pPr>
    </w:p>
    <w:p w14:paraId="1320BBBD" w14:textId="77777777" w:rsidR="0014309F" w:rsidRDefault="0014309F" w:rsidP="008E75C6">
      <w:pPr>
        <w:jc w:val="left"/>
        <w:rPr>
          <w:rFonts w:ascii="Calibri" w:hAnsi="Calibri" w:cs="Calibri"/>
          <w:b/>
          <w:szCs w:val="24"/>
        </w:rPr>
      </w:pPr>
    </w:p>
    <w:p w14:paraId="69CF0A6A" w14:textId="77777777" w:rsidR="004367BB" w:rsidRDefault="004367BB" w:rsidP="008E75C6">
      <w:pPr>
        <w:jc w:val="left"/>
        <w:rPr>
          <w:rFonts w:ascii="Fedra Sans Std Demi" w:hAnsi="Fedra Sans Std Demi" w:cs="Calibri"/>
          <w:color w:val="071D49"/>
          <w:szCs w:val="24"/>
        </w:rPr>
      </w:pPr>
    </w:p>
    <w:p w14:paraId="46CF6CA8" w14:textId="77777777" w:rsidR="004367BB" w:rsidRDefault="0015103E" w:rsidP="008E75C6">
      <w:pPr>
        <w:jc w:val="left"/>
        <w:rPr>
          <w:rFonts w:ascii="Fedra Sans Std Demi" w:hAnsi="Fedra Sans Std Demi" w:cs="Calibri"/>
          <w:color w:val="071D49"/>
          <w:szCs w:val="24"/>
        </w:rPr>
      </w:pPr>
      <w:r>
        <w:rPr>
          <w:rFonts w:ascii="Fedra Sans Std Demi" w:hAnsi="Fedra Sans Std Demi" w:cs="Calibri"/>
          <w:noProof/>
          <w:color w:val="071D49"/>
          <w:szCs w:val="24"/>
        </w:rPr>
        <w:drawing>
          <wp:anchor distT="0" distB="0" distL="114300" distR="114300" simplePos="0" relativeHeight="251657728" behindDoc="1" locked="0" layoutInCell="1" allowOverlap="1" wp14:anchorId="74D093A1" wp14:editId="00BC8872">
            <wp:simplePos x="0" y="0"/>
            <wp:positionH relativeFrom="column">
              <wp:posOffset>-982345</wp:posOffset>
            </wp:positionH>
            <wp:positionV relativeFrom="paragraph">
              <wp:posOffset>-1395095</wp:posOffset>
            </wp:positionV>
            <wp:extent cx="7578090" cy="1554480"/>
            <wp:effectExtent l="0" t="0" r="0" b="0"/>
            <wp:wrapNone/>
            <wp:docPr id="1473002358" name="Immagin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09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88554E" w14:textId="77777777" w:rsidR="0014309F" w:rsidRDefault="003105A7" w:rsidP="008E75C6">
      <w:pPr>
        <w:jc w:val="left"/>
        <w:rPr>
          <w:rFonts w:ascii="Calibri" w:hAnsi="Calibri" w:cs="Calibri"/>
          <w:b/>
          <w:szCs w:val="24"/>
        </w:rPr>
      </w:pPr>
      <w:r w:rsidRPr="003105A7">
        <w:rPr>
          <w:rFonts w:ascii="Fedra Sans Std Demi" w:hAnsi="Fedra Sans Std Demi" w:cs="Calibri"/>
          <w:color w:val="071D49"/>
          <w:szCs w:val="24"/>
        </w:rPr>
        <w:t>Comunicato stampa</w:t>
      </w:r>
    </w:p>
    <w:p w14:paraId="6F3D56DE" w14:textId="77777777" w:rsidR="00CC45BE" w:rsidRDefault="00CC45BE" w:rsidP="00A11480">
      <w:pPr>
        <w:jc w:val="center"/>
        <w:rPr>
          <w:rFonts w:ascii="Calibri" w:hAnsi="Calibri" w:cs="Calibri"/>
          <w:b/>
          <w:sz w:val="32"/>
          <w:szCs w:val="32"/>
        </w:rPr>
      </w:pPr>
    </w:p>
    <w:p w14:paraId="1F3A7212" w14:textId="77777777" w:rsidR="00EF14C2" w:rsidRDefault="00EF14C2" w:rsidP="00E2381C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Crisi d’impresa: la composizione negoziata </w:t>
      </w:r>
    </w:p>
    <w:p w14:paraId="2036D3EA" w14:textId="77777777" w:rsidR="00E2381C" w:rsidRDefault="00EF14C2" w:rsidP="00E2381C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diventa lo strumento preferito</w:t>
      </w:r>
    </w:p>
    <w:p w14:paraId="726C7466" w14:textId="77777777" w:rsidR="00EF14C2" w:rsidRDefault="00EF14C2" w:rsidP="00E2381C">
      <w:pPr>
        <w:jc w:val="center"/>
        <w:rPr>
          <w:rFonts w:ascii="Calibri" w:hAnsi="Calibri" w:cs="Calibri"/>
          <w:bCs/>
          <w:i/>
          <w:iCs/>
          <w:sz w:val="32"/>
          <w:szCs w:val="32"/>
        </w:rPr>
      </w:pPr>
      <w:r w:rsidRPr="00EF14C2">
        <w:rPr>
          <w:rFonts w:ascii="Calibri" w:hAnsi="Calibri" w:cs="Calibri"/>
          <w:bCs/>
          <w:i/>
          <w:iCs/>
          <w:sz w:val="32"/>
          <w:szCs w:val="32"/>
        </w:rPr>
        <w:t xml:space="preserve">3.600 le istanze presentate, 423 aziende salvate </w:t>
      </w:r>
    </w:p>
    <w:p w14:paraId="45BA5654" w14:textId="77777777" w:rsidR="00EF14C2" w:rsidRPr="00EF14C2" w:rsidRDefault="00EF14C2" w:rsidP="00E2381C">
      <w:pPr>
        <w:jc w:val="center"/>
        <w:rPr>
          <w:rFonts w:ascii="Calibri" w:hAnsi="Calibri" w:cs="Calibri"/>
          <w:bCs/>
          <w:i/>
          <w:iCs/>
          <w:sz w:val="32"/>
          <w:szCs w:val="32"/>
        </w:rPr>
      </w:pPr>
      <w:r w:rsidRPr="00EF14C2">
        <w:rPr>
          <w:rFonts w:ascii="Calibri" w:hAnsi="Calibri" w:cs="Calibri"/>
          <w:bCs/>
          <w:i/>
          <w:iCs/>
          <w:sz w:val="32"/>
          <w:szCs w:val="32"/>
        </w:rPr>
        <w:t>con 23mila dipendenti</w:t>
      </w:r>
    </w:p>
    <w:p w14:paraId="188EB64D" w14:textId="77777777" w:rsidR="00C83C71" w:rsidRDefault="00C83C71" w:rsidP="00A11480">
      <w:pPr>
        <w:jc w:val="center"/>
        <w:rPr>
          <w:rFonts w:ascii="Calibri" w:hAnsi="Calibri" w:cs="Calibri"/>
          <w:b/>
          <w:sz w:val="32"/>
          <w:szCs w:val="32"/>
        </w:rPr>
      </w:pPr>
    </w:p>
    <w:p w14:paraId="35F45D06" w14:textId="77777777" w:rsidR="00EF14C2" w:rsidRDefault="005C543E" w:rsidP="00A87C97">
      <w:pPr>
        <w:rPr>
          <w:rFonts w:ascii="Calibri" w:hAnsi="Calibri" w:cs="Calibri"/>
          <w:szCs w:val="24"/>
        </w:rPr>
      </w:pPr>
      <w:r w:rsidRPr="00E963C0">
        <w:rPr>
          <w:rFonts w:ascii="Calibri" w:hAnsi="Calibri" w:cs="Calibri"/>
          <w:szCs w:val="24"/>
        </w:rPr>
        <w:t xml:space="preserve">Roma, </w:t>
      </w:r>
      <w:r w:rsidR="00B46BD3" w:rsidRPr="00E963C0">
        <w:rPr>
          <w:rFonts w:ascii="Calibri" w:hAnsi="Calibri" w:cs="Calibri"/>
          <w:szCs w:val="24"/>
        </w:rPr>
        <w:t xml:space="preserve">13 novembre 2025 – </w:t>
      </w:r>
      <w:r w:rsidR="00EF14C2">
        <w:rPr>
          <w:rFonts w:ascii="Calibri" w:hAnsi="Calibri" w:cs="Calibri"/>
          <w:szCs w:val="24"/>
        </w:rPr>
        <w:t>La composizione negoziata,</w:t>
      </w:r>
      <w:r w:rsidR="00EF14C2" w:rsidRPr="00A87C97">
        <w:rPr>
          <w:rFonts w:ascii="Calibri" w:hAnsi="Calibri" w:cs="Calibri"/>
          <w:szCs w:val="24"/>
        </w:rPr>
        <w:t xml:space="preserve"> introdotta per consentire il risanamento di aziende in condizioni di squilibrio patrimoniale o economico-finanziario, </w:t>
      </w:r>
      <w:r w:rsidR="00EF14C2">
        <w:rPr>
          <w:rFonts w:ascii="Calibri" w:hAnsi="Calibri" w:cs="Calibri"/>
          <w:szCs w:val="24"/>
        </w:rPr>
        <w:t>dal 2025 è</w:t>
      </w:r>
      <w:r w:rsidR="00EF14C2" w:rsidRPr="00A87C97">
        <w:rPr>
          <w:rFonts w:ascii="Calibri" w:hAnsi="Calibri" w:cs="Calibri"/>
          <w:szCs w:val="24"/>
        </w:rPr>
        <w:t xml:space="preserve"> il principale strumento di soluzione della crisi di impres</w:t>
      </w:r>
      <w:r w:rsidR="00EF14C2">
        <w:rPr>
          <w:rFonts w:ascii="Calibri" w:hAnsi="Calibri" w:cs="Calibri"/>
          <w:szCs w:val="24"/>
        </w:rPr>
        <w:t xml:space="preserve">a. </w:t>
      </w:r>
    </w:p>
    <w:p w14:paraId="7AA179BB" w14:textId="77777777" w:rsidR="009D0E76" w:rsidRPr="00A87C97" w:rsidRDefault="007D0A16" w:rsidP="00A87C97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Oltre</w:t>
      </w:r>
      <w:r w:rsidR="00EB4D0B" w:rsidRPr="00E963C0">
        <w:rPr>
          <w:rFonts w:ascii="Calibri" w:hAnsi="Calibri" w:cs="Calibri"/>
          <w:szCs w:val="24"/>
        </w:rPr>
        <w:t xml:space="preserve"> 3.600 </w:t>
      </w:r>
      <w:r>
        <w:rPr>
          <w:rFonts w:ascii="Calibri" w:hAnsi="Calibri" w:cs="Calibri"/>
          <w:szCs w:val="24"/>
        </w:rPr>
        <w:t>istanze</w:t>
      </w:r>
      <w:r w:rsidR="00E963C0">
        <w:rPr>
          <w:rFonts w:ascii="Calibri" w:hAnsi="Calibri" w:cs="Calibri"/>
          <w:szCs w:val="24"/>
        </w:rPr>
        <w:t>, 1.</w:t>
      </w:r>
      <w:r>
        <w:rPr>
          <w:rFonts w:ascii="Calibri" w:hAnsi="Calibri" w:cs="Calibri"/>
          <w:szCs w:val="24"/>
        </w:rPr>
        <w:t>8</w:t>
      </w:r>
      <w:r w:rsidR="00E963C0">
        <w:rPr>
          <w:rFonts w:ascii="Calibri" w:hAnsi="Calibri" w:cs="Calibri"/>
          <w:szCs w:val="24"/>
        </w:rPr>
        <w:t>00 in più dello scorso anno</w:t>
      </w:r>
      <w:r>
        <w:rPr>
          <w:rFonts w:ascii="Calibri" w:hAnsi="Calibri" w:cs="Calibri"/>
          <w:szCs w:val="24"/>
        </w:rPr>
        <w:t>;</w:t>
      </w:r>
      <w:r w:rsidR="009D0E76" w:rsidRPr="00E963C0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più di 2mila</w:t>
      </w:r>
      <w:r w:rsidR="009D0E76" w:rsidRPr="00E963C0">
        <w:rPr>
          <w:rFonts w:ascii="Calibri" w:hAnsi="Calibri" w:cs="Calibri"/>
          <w:szCs w:val="24"/>
        </w:rPr>
        <w:t xml:space="preserve"> archiviate, di cui 423 </w:t>
      </w:r>
      <w:r>
        <w:rPr>
          <w:rFonts w:ascii="Calibri" w:hAnsi="Calibri" w:cs="Calibri"/>
          <w:szCs w:val="24"/>
        </w:rPr>
        <w:t>con esito positivo che hanno coinvolto</w:t>
      </w:r>
      <w:r w:rsidR="009D0E76" w:rsidRPr="00E963C0">
        <w:rPr>
          <w:rFonts w:ascii="Calibri" w:hAnsi="Calibri" w:cs="Calibri"/>
          <w:szCs w:val="24"/>
        </w:rPr>
        <w:t xml:space="preserve"> 23mila dipendenti complessivi</w:t>
      </w:r>
      <w:r w:rsidR="00EB4D0B" w:rsidRPr="00E963C0">
        <w:rPr>
          <w:rFonts w:ascii="Calibri" w:hAnsi="Calibri" w:cs="Calibri"/>
          <w:szCs w:val="24"/>
        </w:rPr>
        <w:t xml:space="preserve">; </w:t>
      </w:r>
      <w:r w:rsidR="009D0E76" w:rsidRPr="00E963C0">
        <w:rPr>
          <w:rFonts w:ascii="Calibri" w:hAnsi="Calibri" w:cs="Calibri"/>
          <w:szCs w:val="24"/>
        </w:rPr>
        <w:t xml:space="preserve">320 </w:t>
      </w:r>
      <w:r w:rsidR="00EB4D0B" w:rsidRPr="00E963C0">
        <w:rPr>
          <w:rFonts w:ascii="Calibri" w:hAnsi="Calibri" w:cs="Calibri"/>
          <w:szCs w:val="24"/>
        </w:rPr>
        <w:t xml:space="preserve">i </w:t>
      </w:r>
      <w:r w:rsidR="009D0E76" w:rsidRPr="00E963C0">
        <w:rPr>
          <w:rFonts w:ascii="Calibri" w:hAnsi="Calibri" w:cs="Calibri"/>
          <w:szCs w:val="24"/>
        </w:rPr>
        <w:t xml:space="preserve">giorni </w:t>
      </w:r>
      <w:r w:rsidR="00EB4D0B" w:rsidRPr="00E963C0">
        <w:rPr>
          <w:rFonts w:ascii="Calibri" w:hAnsi="Calibri" w:cs="Calibri"/>
          <w:szCs w:val="24"/>
        </w:rPr>
        <w:t xml:space="preserve">necessari ad </w:t>
      </w:r>
      <w:r w:rsidR="009D0E76" w:rsidRPr="00E963C0">
        <w:rPr>
          <w:rFonts w:ascii="Calibri" w:hAnsi="Calibri" w:cs="Calibri"/>
          <w:szCs w:val="24"/>
        </w:rPr>
        <w:t>accompagna</w:t>
      </w:r>
      <w:r w:rsidR="00EB4D0B" w:rsidRPr="00E963C0">
        <w:rPr>
          <w:rFonts w:ascii="Calibri" w:hAnsi="Calibri" w:cs="Calibri"/>
          <w:szCs w:val="24"/>
        </w:rPr>
        <w:t>r</w:t>
      </w:r>
      <w:r w:rsidR="009D0E76" w:rsidRPr="00E963C0">
        <w:rPr>
          <w:rFonts w:ascii="Calibri" w:hAnsi="Calibri" w:cs="Calibri"/>
          <w:szCs w:val="24"/>
        </w:rPr>
        <w:t>e</w:t>
      </w:r>
      <w:r w:rsidR="00EB4D0B" w:rsidRPr="00E963C0">
        <w:rPr>
          <w:rFonts w:ascii="Calibri" w:hAnsi="Calibri" w:cs="Calibri"/>
          <w:szCs w:val="24"/>
        </w:rPr>
        <w:t xml:space="preserve"> le aziende</w:t>
      </w:r>
      <w:r w:rsidR="009D0E76" w:rsidRPr="00E963C0">
        <w:rPr>
          <w:rFonts w:ascii="Calibri" w:hAnsi="Calibri" w:cs="Calibri"/>
          <w:szCs w:val="24"/>
        </w:rPr>
        <w:t xml:space="preserve"> in un percorso di risanamento e di soluzione della crisi.</w:t>
      </w:r>
      <w:r w:rsidR="009D0E76" w:rsidRPr="00A87C97">
        <w:rPr>
          <w:rFonts w:ascii="Calibri" w:hAnsi="Calibri" w:cs="Calibri"/>
          <w:szCs w:val="24"/>
        </w:rPr>
        <w:t xml:space="preserve"> </w:t>
      </w:r>
    </w:p>
    <w:p w14:paraId="1FC7F0DF" w14:textId="77777777" w:rsidR="009D0E76" w:rsidRPr="00A87C97" w:rsidRDefault="009D0E76" w:rsidP="00A87C97">
      <w:pPr>
        <w:rPr>
          <w:rFonts w:ascii="Calibri" w:hAnsi="Calibri" w:cs="Calibri"/>
          <w:szCs w:val="24"/>
        </w:rPr>
      </w:pPr>
      <w:r w:rsidRPr="00A87C97">
        <w:rPr>
          <w:rFonts w:ascii="Calibri" w:hAnsi="Calibri" w:cs="Calibri"/>
          <w:szCs w:val="24"/>
        </w:rPr>
        <w:t>Sono i</w:t>
      </w:r>
      <w:r w:rsidR="00B3407C">
        <w:rPr>
          <w:rFonts w:ascii="Calibri" w:hAnsi="Calibri" w:cs="Calibri"/>
          <w:szCs w:val="24"/>
        </w:rPr>
        <w:t xml:space="preserve"> più recenti</w:t>
      </w:r>
      <w:r w:rsidRPr="00A87C97">
        <w:rPr>
          <w:rFonts w:ascii="Calibri" w:hAnsi="Calibri" w:cs="Calibri"/>
          <w:szCs w:val="24"/>
        </w:rPr>
        <w:t xml:space="preserve"> </w:t>
      </w:r>
      <w:r w:rsidR="00B3407C">
        <w:rPr>
          <w:rFonts w:ascii="Calibri" w:hAnsi="Calibri" w:cs="Calibri"/>
          <w:szCs w:val="24"/>
        </w:rPr>
        <w:t>dati (aggiornati al 10 novembre) sulla composizione negoziata, elaborati da</w:t>
      </w:r>
      <w:r w:rsidRPr="00A87C97">
        <w:rPr>
          <w:rFonts w:ascii="Calibri" w:hAnsi="Calibri" w:cs="Calibri"/>
          <w:szCs w:val="24"/>
        </w:rPr>
        <w:t xml:space="preserve"> </w:t>
      </w:r>
      <w:r w:rsidRPr="00E963C0">
        <w:rPr>
          <w:rFonts w:ascii="Calibri" w:hAnsi="Calibri" w:cs="Calibri"/>
          <w:b/>
          <w:bCs/>
          <w:szCs w:val="24"/>
        </w:rPr>
        <w:t>Unioncamere</w:t>
      </w:r>
      <w:r w:rsidR="00B3407C">
        <w:rPr>
          <w:rFonts w:ascii="Calibri" w:hAnsi="Calibri" w:cs="Calibri"/>
          <w:szCs w:val="24"/>
        </w:rPr>
        <w:t>, e diffusi oggi in occasione del convegno “La composizione negoziata della crisi di impresa: il bilancio di 4 anni”.</w:t>
      </w:r>
    </w:p>
    <w:p w14:paraId="5470711A" w14:textId="77777777" w:rsidR="009D0E76" w:rsidRPr="00A87C97" w:rsidRDefault="00EF14C2" w:rsidP="00A87C97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L’attrattività di questo strumento stragiudiziale si deve </w:t>
      </w:r>
      <w:r w:rsidR="0029046A" w:rsidRPr="00A87C97">
        <w:rPr>
          <w:rFonts w:ascii="Calibri" w:hAnsi="Calibri" w:cs="Calibri"/>
          <w:szCs w:val="24"/>
        </w:rPr>
        <w:t xml:space="preserve">a una serie di vantaggi, tra i quali il carattere </w:t>
      </w:r>
      <w:r w:rsidR="00FA4ABC">
        <w:rPr>
          <w:rFonts w:ascii="Calibri" w:hAnsi="Calibri" w:cs="Calibri"/>
          <w:szCs w:val="24"/>
        </w:rPr>
        <w:t xml:space="preserve">stragiudiziale e </w:t>
      </w:r>
      <w:r w:rsidR="0029046A" w:rsidRPr="00A87C97">
        <w:rPr>
          <w:rFonts w:ascii="Calibri" w:hAnsi="Calibri" w:cs="Calibri"/>
          <w:szCs w:val="24"/>
        </w:rPr>
        <w:t xml:space="preserve">volontario, le tempistiche brevi stabilite per legge, le trattative riservate tra debitore e creditore, i costi contenuti e la salvaguardia della continuità aziendale, la gestione diretta dell’impresa e l’accesso alle misure protettive del patrimonio. </w:t>
      </w:r>
    </w:p>
    <w:p w14:paraId="78AFE755" w14:textId="77777777" w:rsidR="0029046A" w:rsidRPr="00A87C97" w:rsidRDefault="0029046A" w:rsidP="00A87C97">
      <w:pPr>
        <w:rPr>
          <w:rFonts w:ascii="Calibri" w:hAnsi="Calibri" w:cs="Calibri"/>
          <w:szCs w:val="24"/>
        </w:rPr>
      </w:pPr>
    </w:p>
    <w:p w14:paraId="0F4A8F82" w14:textId="77777777" w:rsidR="00A16FF8" w:rsidRDefault="00A85898" w:rsidP="00A87C97">
      <w:pPr>
        <w:rPr>
          <w:rFonts w:ascii="Calibri" w:hAnsi="Calibri" w:cs="Calibri"/>
          <w:i/>
          <w:iCs/>
          <w:szCs w:val="24"/>
        </w:rPr>
      </w:pPr>
      <w:r>
        <w:rPr>
          <w:rFonts w:ascii="Calibri" w:hAnsi="Calibri" w:cs="Calibri"/>
          <w:szCs w:val="24"/>
        </w:rPr>
        <w:t>“</w:t>
      </w:r>
      <w:r w:rsidRPr="007E601C">
        <w:rPr>
          <w:rFonts w:ascii="Calibri" w:hAnsi="Calibri" w:cs="Calibri"/>
          <w:i/>
          <w:iCs/>
          <w:szCs w:val="24"/>
        </w:rPr>
        <w:t xml:space="preserve">La composizione negoziata funziona sempre più: </w:t>
      </w:r>
      <w:r w:rsidR="00BE024F">
        <w:rPr>
          <w:rFonts w:ascii="Calibri" w:hAnsi="Calibri" w:cs="Calibri"/>
          <w:i/>
          <w:iCs/>
          <w:szCs w:val="24"/>
        </w:rPr>
        <w:t>il numero delle aziende in difficoltà che vi ricorre cresce e gli esiti positivi</w:t>
      </w:r>
      <w:r w:rsidR="00A16FF8" w:rsidRPr="007E601C">
        <w:rPr>
          <w:rFonts w:ascii="Calibri" w:hAnsi="Calibri" w:cs="Calibri"/>
          <w:i/>
          <w:iCs/>
          <w:szCs w:val="24"/>
        </w:rPr>
        <w:t xml:space="preserve"> </w:t>
      </w:r>
      <w:r w:rsidRPr="007E601C">
        <w:rPr>
          <w:rFonts w:ascii="Calibri" w:hAnsi="Calibri" w:cs="Calibri"/>
          <w:i/>
          <w:iCs/>
          <w:szCs w:val="24"/>
        </w:rPr>
        <w:t xml:space="preserve">sono </w:t>
      </w:r>
      <w:r w:rsidR="00A16FF8" w:rsidRPr="007E601C">
        <w:rPr>
          <w:rFonts w:ascii="Calibri" w:hAnsi="Calibri" w:cs="Calibri"/>
          <w:i/>
          <w:iCs/>
          <w:szCs w:val="24"/>
        </w:rPr>
        <w:t xml:space="preserve">raddoppiati </w:t>
      </w:r>
      <w:r w:rsidRPr="007E601C">
        <w:rPr>
          <w:rFonts w:ascii="Calibri" w:hAnsi="Calibri" w:cs="Calibri"/>
          <w:i/>
          <w:iCs/>
          <w:szCs w:val="24"/>
        </w:rPr>
        <w:t>rispetto allo scorso anno</w:t>
      </w:r>
      <w:r w:rsidR="00F20B56">
        <w:rPr>
          <w:rFonts w:ascii="Calibri" w:hAnsi="Calibri" w:cs="Calibri"/>
          <w:szCs w:val="24"/>
        </w:rPr>
        <w:t xml:space="preserve">”, ha sottolineato il </w:t>
      </w:r>
      <w:r w:rsidR="00EB297A">
        <w:rPr>
          <w:rFonts w:ascii="Calibri" w:hAnsi="Calibri" w:cs="Calibri"/>
          <w:szCs w:val="24"/>
        </w:rPr>
        <w:t>segretario generale</w:t>
      </w:r>
      <w:r w:rsidR="00F20B56">
        <w:rPr>
          <w:rFonts w:ascii="Calibri" w:hAnsi="Calibri" w:cs="Calibri"/>
          <w:szCs w:val="24"/>
        </w:rPr>
        <w:t xml:space="preserve"> di </w:t>
      </w:r>
      <w:r w:rsidR="00F20B56" w:rsidRPr="007E601C">
        <w:rPr>
          <w:rFonts w:ascii="Calibri" w:hAnsi="Calibri" w:cs="Calibri"/>
          <w:b/>
          <w:bCs/>
          <w:szCs w:val="24"/>
        </w:rPr>
        <w:t>Unioncamere</w:t>
      </w:r>
      <w:r w:rsidR="00F20B56">
        <w:rPr>
          <w:rFonts w:ascii="Calibri" w:hAnsi="Calibri" w:cs="Calibri"/>
          <w:szCs w:val="24"/>
        </w:rPr>
        <w:t xml:space="preserve">, </w:t>
      </w:r>
      <w:r w:rsidR="00EB297A">
        <w:rPr>
          <w:rFonts w:ascii="Calibri" w:hAnsi="Calibri" w:cs="Calibri"/>
          <w:b/>
          <w:bCs/>
          <w:szCs w:val="24"/>
        </w:rPr>
        <w:t>Giuseppe Tripoli</w:t>
      </w:r>
      <w:r w:rsidR="00F20B56">
        <w:rPr>
          <w:rFonts w:ascii="Calibri" w:hAnsi="Calibri" w:cs="Calibri"/>
          <w:szCs w:val="24"/>
        </w:rPr>
        <w:t xml:space="preserve">. </w:t>
      </w:r>
      <w:r w:rsidR="00EB297A">
        <w:rPr>
          <w:rFonts w:ascii="Calibri" w:hAnsi="Calibri" w:cs="Calibri"/>
          <w:szCs w:val="24"/>
        </w:rPr>
        <w:t>“</w:t>
      </w:r>
      <w:r w:rsidR="00BE024F">
        <w:rPr>
          <w:rFonts w:ascii="Calibri" w:hAnsi="Calibri" w:cs="Calibri"/>
          <w:szCs w:val="24"/>
        </w:rPr>
        <w:t>Q</w:t>
      </w:r>
      <w:r w:rsidR="00EB297A" w:rsidRPr="00EB297A">
        <w:rPr>
          <w:rFonts w:ascii="Calibri" w:hAnsi="Calibri" w:cs="Calibri"/>
          <w:i/>
          <w:iCs/>
          <w:szCs w:val="24"/>
        </w:rPr>
        <w:t>uesto strumento</w:t>
      </w:r>
      <w:r w:rsidR="00BE024F">
        <w:rPr>
          <w:rFonts w:ascii="Calibri" w:hAnsi="Calibri" w:cs="Calibri"/>
          <w:i/>
          <w:iCs/>
          <w:szCs w:val="24"/>
        </w:rPr>
        <w:t xml:space="preserve"> realmente contribuisce </w:t>
      </w:r>
      <w:r w:rsidR="00EB297A" w:rsidRPr="00EB297A">
        <w:rPr>
          <w:rFonts w:ascii="Calibri" w:hAnsi="Calibri" w:cs="Calibri"/>
          <w:i/>
          <w:iCs/>
          <w:szCs w:val="24"/>
        </w:rPr>
        <w:t xml:space="preserve">ad evitare la chiusura di </w:t>
      </w:r>
      <w:r w:rsidR="00BE024F">
        <w:rPr>
          <w:rFonts w:ascii="Calibri" w:hAnsi="Calibri" w:cs="Calibri"/>
          <w:i/>
          <w:iCs/>
          <w:szCs w:val="24"/>
        </w:rPr>
        <w:t>tante</w:t>
      </w:r>
      <w:r w:rsidR="00EB297A" w:rsidRPr="00EB297A">
        <w:rPr>
          <w:rFonts w:ascii="Calibri" w:hAnsi="Calibri" w:cs="Calibri"/>
          <w:i/>
          <w:iCs/>
          <w:szCs w:val="24"/>
        </w:rPr>
        <w:t xml:space="preserve"> aziende</w:t>
      </w:r>
      <w:r w:rsidR="00BE024F">
        <w:rPr>
          <w:rFonts w:ascii="Calibri" w:hAnsi="Calibri" w:cs="Calibri"/>
          <w:i/>
          <w:iCs/>
          <w:szCs w:val="24"/>
        </w:rPr>
        <w:t xml:space="preserve"> e a salvare </w:t>
      </w:r>
      <w:r w:rsidR="00EB297A" w:rsidRPr="00EB297A">
        <w:rPr>
          <w:rFonts w:ascii="Calibri" w:hAnsi="Calibri" w:cs="Calibri"/>
          <w:i/>
          <w:iCs/>
          <w:szCs w:val="24"/>
        </w:rPr>
        <w:t xml:space="preserve">decine di migliaia di posti di lavoro. </w:t>
      </w:r>
      <w:r w:rsidR="00BE024F">
        <w:rPr>
          <w:rFonts w:ascii="Calibri" w:hAnsi="Calibri" w:cs="Calibri"/>
          <w:i/>
          <w:iCs/>
          <w:szCs w:val="24"/>
        </w:rPr>
        <w:t>Sono soprattutto le imprese più grandi a farvi ricorso. Servirebbe quindi rendere più semplici alcune procedure che facilitino in particolare le aziende più piccole”.</w:t>
      </w:r>
    </w:p>
    <w:p w14:paraId="3A7029CC" w14:textId="77777777" w:rsidR="00EB297A" w:rsidRPr="00EB297A" w:rsidRDefault="00EB297A" w:rsidP="00A87C97">
      <w:pPr>
        <w:rPr>
          <w:rFonts w:ascii="Calibri" w:hAnsi="Calibri" w:cs="Calibri"/>
          <w:szCs w:val="24"/>
        </w:rPr>
      </w:pPr>
    </w:p>
    <w:p w14:paraId="7C003A18" w14:textId="77777777" w:rsidR="00B3407C" w:rsidRDefault="00B3407C" w:rsidP="00B3407C">
      <w:pPr>
        <w:pStyle w:val="Corpotesto"/>
        <w:rPr>
          <w:rFonts w:ascii="Calibri" w:hAnsi="Calibri" w:cs="Calibri"/>
          <w:w w:val="105"/>
          <w:sz w:val="24"/>
          <w:szCs w:val="24"/>
        </w:rPr>
      </w:pPr>
      <w:r>
        <w:rPr>
          <w:rFonts w:ascii="Calibri" w:hAnsi="Calibri" w:cs="Calibri"/>
          <w:w w:val="105"/>
          <w:sz w:val="24"/>
          <w:szCs w:val="24"/>
        </w:rPr>
        <w:t xml:space="preserve">A fare da sfondo all’evento, i dati dell’ottava edizione dell’Osservatorio semestrale sulla </w:t>
      </w:r>
      <w:r w:rsidR="00FA4ABC">
        <w:rPr>
          <w:rFonts w:ascii="Calibri" w:hAnsi="Calibri" w:cs="Calibri"/>
          <w:w w:val="105"/>
          <w:sz w:val="24"/>
          <w:szCs w:val="24"/>
        </w:rPr>
        <w:t>composizione negoziata</w:t>
      </w:r>
      <w:r>
        <w:rPr>
          <w:rFonts w:ascii="Calibri" w:hAnsi="Calibri" w:cs="Calibri"/>
          <w:w w:val="105"/>
          <w:sz w:val="24"/>
          <w:szCs w:val="24"/>
        </w:rPr>
        <w:t xml:space="preserve">, che contiene elaborazioni aggiornate al 15 ottobre. </w:t>
      </w:r>
    </w:p>
    <w:p w14:paraId="2FC19365" w14:textId="77777777" w:rsidR="00DD7465" w:rsidRPr="00A87C97" w:rsidRDefault="005C30B9" w:rsidP="00B3407C">
      <w:pPr>
        <w:pStyle w:val="Corpotesto"/>
        <w:rPr>
          <w:rFonts w:ascii="Calibri" w:hAnsi="Calibri" w:cs="Calibri"/>
          <w:w w:val="105"/>
          <w:sz w:val="24"/>
          <w:szCs w:val="24"/>
        </w:rPr>
      </w:pPr>
      <w:r w:rsidRPr="00A87C97">
        <w:rPr>
          <w:rFonts w:ascii="Calibri" w:hAnsi="Calibri" w:cs="Calibri"/>
          <w:w w:val="105"/>
          <w:sz w:val="24"/>
          <w:szCs w:val="24"/>
        </w:rPr>
        <w:t>Nel 2025, oltre ad aumentare sensibilmente il numero delle istanze presentate (</w:t>
      </w:r>
      <w:r w:rsidR="00A85898">
        <w:rPr>
          <w:rFonts w:ascii="Calibri" w:hAnsi="Calibri" w:cs="Calibri"/>
          <w:w w:val="105"/>
          <w:sz w:val="24"/>
          <w:szCs w:val="24"/>
        </w:rPr>
        <w:t xml:space="preserve">3.483 complessive, </w:t>
      </w:r>
      <w:r w:rsidRPr="00A87C97">
        <w:rPr>
          <w:rFonts w:ascii="Calibri" w:hAnsi="Calibri" w:cs="Calibri"/>
          <w:w w:val="105"/>
          <w:sz w:val="24"/>
          <w:szCs w:val="24"/>
        </w:rPr>
        <w:t>+</w:t>
      </w:r>
      <w:r w:rsidR="00EB4D0B" w:rsidRPr="00A87C97">
        <w:rPr>
          <w:rFonts w:ascii="Calibri" w:hAnsi="Calibri" w:cs="Calibri"/>
          <w:w w:val="105"/>
          <w:sz w:val="24"/>
          <w:szCs w:val="24"/>
        </w:rPr>
        <w:t xml:space="preserve">1.623 </w:t>
      </w:r>
      <w:r w:rsidRPr="00A87C97">
        <w:rPr>
          <w:rFonts w:ascii="Calibri" w:hAnsi="Calibri" w:cs="Calibri"/>
          <w:w w:val="105"/>
          <w:sz w:val="24"/>
          <w:szCs w:val="24"/>
        </w:rPr>
        <w:t xml:space="preserve">rispetto a </w:t>
      </w:r>
      <w:r w:rsidR="00EB4D0B" w:rsidRPr="00A87C97">
        <w:rPr>
          <w:rFonts w:ascii="Calibri" w:hAnsi="Calibri" w:cs="Calibri"/>
          <w:w w:val="105"/>
          <w:sz w:val="24"/>
          <w:szCs w:val="24"/>
        </w:rPr>
        <w:t>novembre 2024</w:t>
      </w:r>
      <w:r w:rsidRPr="00A87C97">
        <w:rPr>
          <w:rFonts w:ascii="Calibri" w:hAnsi="Calibri" w:cs="Calibri"/>
          <w:w w:val="105"/>
          <w:sz w:val="24"/>
          <w:szCs w:val="24"/>
        </w:rPr>
        <w:t xml:space="preserve"> grazie a </w:t>
      </w:r>
      <w:r w:rsidR="00EB4D0B" w:rsidRPr="00A87C97">
        <w:rPr>
          <w:rFonts w:ascii="Calibri" w:hAnsi="Calibri" w:cs="Calibri"/>
          <w:w w:val="105"/>
          <w:sz w:val="24"/>
          <w:szCs w:val="24"/>
        </w:rPr>
        <w:t>una crescita incrementale nei primi tre trimestri del 2025)</w:t>
      </w:r>
      <w:r w:rsidRPr="00A87C97">
        <w:rPr>
          <w:rFonts w:ascii="Calibri" w:hAnsi="Calibri" w:cs="Calibri"/>
          <w:w w:val="105"/>
          <w:sz w:val="24"/>
          <w:szCs w:val="24"/>
        </w:rPr>
        <w:t xml:space="preserve">, </w:t>
      </w:r>
      <w:r w:rsidR="00A16FF8">
        <w:rPr>
          <w:rFonts w:ascii="Calibri" w:hAnsi="Calibri" w:cs="Calibri"/>
          <w:w w:val="105"/>
          <w:sz w:val="24"/>
          <w:szCs w:val="24"/>
        </w:rPr>
        <w:t>sono</w:t>
      </w:r>
      <w:r w:rsidRPr="00A87C97">
        <w:rPr>
          <w:rFonts w:ascii="Calibri" w:hAnsi="Calibri" w:cs="Calibri"/>
          <w:w w:val="105"/>
          <w:sz w:val="24"/>
          <w:szCs w:val="24"/>
        </w:rPr>
        <w:t xml:space="preserve"> </w:t>
      </w:r>
      <w:r w:rsidR="00A16FF8">
        <w:rPr>
          <w:rFonts w:ascii="Calibri" w:hAnsi="Calibri" w:cs="Calibri"/>
          <w:w w:val="105"/>
          <w:sz w:val="24"/>
          <w:szCs w:val="24"/>
        </w:rPr>
        <w:t>raddoppiati i casi</w:t>
      </w:r>
      <w:r w:rsidRPr="00A87C97">
        <w:rPr>
          <w:rFonts w:ascii="Calibri" w:hAnsi="Calibri" w:cs="Calibri"/>
          <w:w w:val="105"/>
          <w:sz w:val="24"/>
          <w:szCs w:val="24"/>
        </w:rPr>
        <w:t xml:space="preserve"> di successo dell’istituto</w:t>
      </w:r>
      <w:r w:rsidR="00BD4765" w:rsidRPr="00A87C97">
        <w:rPr>
          <w:rFonts w:ascii="Calibri" w:hAnsi="Calibri" w:cs="Calibri"/>
          <w:w w:val="105"/>
          <w:sz w:val="24"/>
          <w:szCs w:val="24"/>
        </w:rPr>
        <w:t xml:space="preserve">, </w:t>
      </w:r>
      <w:r w:rsidR="00EB4D0B" w:rsidRPr="00A87C97">
        <w:rPr>
          <w:rFonts w:ascii="Calibri" w:hAnsi="Calibri" w:cs="Calibri"/>
          <w:w w:val="105"/>
          <w:sz w:val="24"/>
          <w:szCs w:val="24"/>
        </w:rPr>
        <w:t xml:space="preserve">passando da 205 </w:t>
      </w:r>
      <w:r w:rsidR="00DD7465">
        <w:rPr>
          <w:rFonts w:ascii="Calibri" w:hAnsi="Calibri" w:cs="Calibri"/>
          <w:w w:val="105"/>
          <w:sz w:val="24"/>
          <w:szCs w:val="24"/>
        </w:rPr>
        <w:t>dello scorso anno</w:t>
      </w:r>
      <w:r w:rsidR="00EB4D0B" w:rsidRPr="00A87C97">
        <w:rPr>
          <w:rFonts w:ascii="Calibri" w:hAnsi="Calibri" w:cs="Calibri"/>
          <w:w w:val="105"/>
          <w:sz w:val="24"/>
          <w:szCs w:val="24"/>
        </w:rPr>
        <w:t xml:space="preserve"> a 410, </w:t>
      </w:r>
      <w:r w:rsidR="00BD4765" w:rsidRPr="00A87C97">
        <w:rPr>
          <w:rFonts w:ascii="Calibri" w:hAnsi="Calibri" w:cs="Calibri"/>
          <w:w w:val="105"/>
          <w:sz w:val="24"/>
          <w:szCs w:val="24"/>
        </w:rPr>
        <w:t xml:space="preserve">e </w:t>
      </w:r>
      <w:r w:rsidR="00A16FF8">
        <w:rPr>
          <w:rFonts w:ascii="Calibri" w:hAnsi="Calibri" w:cs="Calibri"/>
          <w:w w:val="105"/>
          <w:sz w:val="24"/>
          <w:szCs w:val="24"/>
        </w:rPr>
        <w:t xml:space="preserve">il tasso di successo, in media del 20%, ha raggiunto </w:t>
      </w:r>
      <w:r w:rsidR="00BD4765" w:rsidRPr="00A87C97">
        <w:rPr>
          <w:rFonts w:ascii="Calibri" w:hAnsi="Calibri" w:cs="Calibri"/>
          <w:w w:val="105"/>
          <w:sz w:val="24"/>
          <w:szCs w:val="24"/>
        </w:rPr>
        <w:t>il 25%</w:t>
      </w:r>
      <w:r w:rsidR="00EB4D0B" w:rsidRPr="00A87C97">
        <w:rPr>
          <w:rFonts w:ascii="Calibri" w:hAnsi="Calibri" w:cs="Calibri"/>
          <w:w w:val="105"/>
          <w:sz w:val="24"/>
          <w:szCs w:val="24"/>
        </w:rPr>
        <w:t xml:space="preserve"> nell’ultimo trimestre del 2025</w:t>
      </w:r>
      <w:r w:rsidR="00BD4765" w:rsidRPr="00A87C97">
        <w:rPr>
          <w:rFonts w:ascii="Calibri" w:hAnsi="Calibri" w:cs="Calibri"/>
          <w:w w:val="105"/>
          <w:sz w:val="24"/>
          <w:szCs w:val="24"/>
        </w:rPr>
        <w:t>.</w:t>
      </w:r>
      <w:r w:rsidR="00DD7465">
        <w:rPr>
          <w:rFonts w:ascii="Calibri" w:hAnsi="Calibri" w:cs="Calibri"/>
          <w:w w:val="105"/>
          <w:sz w:val="24"/>
          <w:szCs w:val="24"/>
        </w:rPr>
        <w:t xml:space="preserve"> </w:t>
      </w:r>
      <w:r w:rsidR="00DD7465" w:rsidRPr="00A87C97">
        <w:rPr>
          <w:rFonts w:ascii="Calibri" w:hAnsi="Calibri" w:cs="Calibri"/>
          <w:w w:val="105"/>
          <w:sz w:val="24"/>
          <w:szCs w:val="24"/>
        </w:rPr>
        <w:t>Sul totale delle istanze presentate, 2.043 risultano archiviate mentre 210 sono state rifiutate. Le istanze attualmente in gestione presso i vari esperti incaricati sul territorio nazionale sono 1.230.</w:t>
      </w:r>
    </w:p>
    <w:p w14:paraId="30405A17" w14:textId="77777777" w:rsidR="00EB4D0B" w:rsidRPr="00A87C97" w:rsidRDefault="00EB4D0B" w:rsidP="00B3407C">
      <w:pPr>
        <w:pStyle w:val="Corpotesto"/>
        <w:rPr>
          <w:rFonts w:ascii="Calibri" w:hAnsi="Calibri" w:cs="Calibri"/>
          <w:w w:val="105"/>
          <w:sz w:val="24"/>
          <w:szCs w:val="24"/>
        </w:rPr>
      </w:pPr>
    </w:p>
    <w:p w14:paraId="2FCCFA60" w14:textId="77777777" w:rsidR="00EB4D0B" w:rsidRPr="00A87C97" w:rsidRDefault="00BD4765" w:rsidP="00B3407C">
      <w:pPr>
        <w:pStyle w:val="Corpotesto"/>
        <w:rPr>
          <w:rFonts w:ascii="Calibri" w:hAnsi="Calibri" w:cs="Calibri"/>
          <w:w w:val="105"/>
          <w:sz w:val="24"/>
          <w:szCs w:val="24"/>
        </w:rPr>
      </w:pPr>
      <w:r w:rsidRPr="00A87C97">
        <w:rPr>
          <w:rFonts w:ascii="Calibri" w:hAnsi="Calibri" w:cs="Calibri"/>
          <w:w w:val="105"/>
          <w:sz w:val="24"/>
          <w:szCs w:val="24"/>
        </w:rPr>
        <w:t>La maggior parte delle istanze ci concentra ne</w:t>
      </w:r>
      <w:r w:rsidR="00EB4D0B" w:rsidRPr="00A87C97">
        <w:rPr>
          <w:rFonts w:ascii="Calibri" w:hAnsi="Calibri" w:cs="Calibri"/>
          <w:w w:val="105"/>
          <w:sz w:val="24"/>
          <w:szCs w:val="24"/>
        </w:rPr>
        <w:t>l Nord Italia</w:t>
      </w:r>
      <w:r w:rsidRPr="00A87C97">
        <w:rPr>
          <w:rFonts w:ascii="Calibri" w:hAnsi="Calibri" w:cs="Calibri"/>
          <w:w w:val="105"/>
          <w:sz w:val="24"/>
          <w:szCs w:val="24"/>
        </w:rPr>
        <w:t xml:space="preserve"> (53%), con Lombardia, Lazio, Emilia Romagna e Veneto che insieme superano il 50% del totale. </w:t>
      </w:r>
    </w:p>
    <w:p w14:paraId="65ADFC6E" w14:textId="77777777" w:rsidR="00BD4765" w:rsidRPr="00DD7465" w:rsidRDefault="00BD4765" w:rsidP="00A85898">
      <w:pPr>
        <w:rPr>
          <w:rFonts w:ascii="Calibri" w:hAnsi="Calibri" w:cs="Calibri"/>
          <w:color w:val="FF0000"/>
          <w:w w:val="105"/>
          <w:szCs w:val="24"/>
        </w:rPr>
      </w:pPr>
      <w:r w:rsidRPr="00A87C97">
        <w:rPr>
          <w:rFonts w:ascii="Calibri" w:hAnsi="Calibri" w:cs="Calibri"/>
          <w:w w:val="105"/>
          <w:szCs w:val="24"/>
        </w:rPr>
        <w:t>Delle 3.483 imprese che hanno avuto accesso allo strumento, solo il 4% appartiene alla categoria di imprese “sottosoglia” (</w:t>
      </w:r>
      <w:r w:rsidR="00FA4ABC">
        <w:rPr>
          <w:rFonts w:ascii="Calibri" w:hAnsi="Calibri" w:cs="Calibri"/>
          <w:w w:val="105"/>
          <w:szCs w:val="24"/>
        </w:rPr>
        <w:t>con</w:t>
      </w:r>
      <w:r w:rsidRPr="00A87C97">
        <w:rPr>
          <w:rFonts w:ascii="Calibri" w:hAnsi="Calibri" w:cs="Calibri"/>
          <w:w w:val="105"/>
          <w:szCs w:val="24"/>
        </w:rPr>
        <w:t xml:space="preserve"> ricavi minori di 200</w:t>
      </w:r>
      <w:r w:rsidR="00A85898">
        <w:rPr>
          <w:rFonts w:ascii="Calibri" w:hAnsi="Calibri" w:cs="Calibri"/>
          <w:w w:val="105"/>
          <w:szCs w:val="24"/>
        </w:rPr>
        <w:t>mila</w:t>
      </w:r>
      <w:r w:rsidRPr="00A87C97">
        <w:rPr>
          <w:rFonts w:ascii="Calibri" w:hAnsi="Calibri" w:cs="Calibri"/>
          <w:w w:val="105"/>
          <w:szCs w:val="24"/>
        </w:rPr>
        <w:t xml:space="preserve"> euro; attivo patrimoniale inferiore a 300</w:t>
      </w:r>
      <w:r w:rsidR="00A85898">
        <w:rPr>
          <w:rFonts w:ascii="Calibri" w:hAnsi="Calibri" w:cs="Calibri"/>
          <w:w w:val="105"/>
          <w:szCs w:val="24"/>
        </w:rPr>
        <w:t>mila</w:t>
      </w:r>
      <w:r w:rsidRPr="00A87C97">
        <w:rPr>
          <w:rFonts w:ascii="Calibri" w:hAnsi="Calibri" w:cs="Calibri"/>
          <w:w w:val="105"/>
          <w:szCs w:val="24"/>
        </w:rPr>
        <w:t xml:space="preserve"> euro</w:t>
      </w:r>
      <w:r w:rsidR="00DD7465">
        <w:rPr>
          <w:rFonts w:ascii="Calibri" w:hAnsi="Calibri" w:cs="Calibri"/>
          <w:w w:val="105"/>
          <w:szCs w:val="24"/>
        </w:rPr>
        <w:t>;</w:t>
      </w:r>
      <w:r w:rsidRPr="00A87C97">
        <w:rPr>
          <w:rFonts w:ascii="Calibri" w:hAnsi="Calibri" w:cs="Calibri"/>
          <w:w w:val="105"/>
          <w:szCs w:val="24"/>
        </w:rPr>
        <w:t xml:space="preserve"> debiti inferiori a 500</w:t>
      </w:r>
      <w:r w:rsidR="00A85898">
        <w:rPr>
          <w:rFonts w:ascii="Calibri" w:hAnsi="Calibri" w:cs="Calibri"/>
          <w:w w:val="105"/>
          <w:szCs w:val="24"/>
        </w:rPr>
        <w:t>mila</w:t>
      </w:r>
      <w:r w:rsidRPr="00A87C97">
        <w:rPr>
          <w:rFonts w:ascii="Calibri" w:hAnsi="Calibri" w:cs="Calibri"/>
          <w:w w:val="105"/>
          <w:szCs w:val="24"/>
        </w:rPr>
        <w:t xml:space="preserve"> euro), cosa che dimostra come la composizione negoziata continui a rilevarsi poco attrattiva</w:t>
      </w:r>
      <w:r w:rsidR="00A85898">
        <w:rPr>
          <w:rFonts w:ascii="Calibri" w:hAnsi="Calibri" w:cs="Calibri"/>
          <w:w w:val="105"/>
          <w:szCs w:val="24"/>
        </w:rPr>
        <w:t xml:space="preserve"> ed anche poco efficace</w:t>
      </w:r>
      <w:r w:rsidRPr="00A87C97">
        <w:rPr>
          <w:rFonts w:ascii="Calibri" w:hAnsi="Calibri" w:cs="Calibri"/>
          <w:w w:val="105"/>
          <w:szCs w:val="24"/>
        </w:rPr>
        <w:t xml:space="preserve"> per le piccole imprese</w:t>
      </w:r>
      <w:r w:rsidR="00A85898">
        <w:rPr>
          <w:rFonts w:ascii="Calibri" w:hAnsi="Calibri" w:cs="Calibri"/>
          <w:w w:val="105"/>
          <w:szCs w:val="24"/>
        </w:rPr>
        <w:t>: il tasso di successo in questo caso è pari al 9%, ben al di sotto del livello medio</w:t>
      </w:r>
      <w:r w:rsidRPr="00A87C97">
        <w:rPr>
          <w:rFonts w:ascii="Calibri" w:hAnsi="Calibri" w:cs="Calibri"/>
          <w:w w:val="105"/>
          <w:szCs w:val="24"/>
        </w:rPr>
        <w:t>.</w:t>
      </w:r>
      <w:r w:rsidR="00DD7465">
        <w:rPr>
          <w:rFonts w:ascii="Calibri" w:hAnsi="Calibri" w:cs="Calibri"/>
          <w:w w:val="105"/>
          <w:szCs w:val="24"/>
        </w:rPr>
        <w:t xml:space="preserve"> </w:t>
      </w:r>
    </w:p>
    <w:p w14:paraId="5EB9F3B5" w14:textId="77777777" w:rsidR="00BD4765" w:rsidRPr="00A87C97" w:rsidRDefault="00BD4765" w:rsidP="00A87C97">
      <w:pPr>
        <w:pStyle w:val="Corpotesto"/>
        <w:rPr>
          <w:rFonts w:ascii="Calibri" w:hAnsi="Calibri" w:cs="Calibri"/>
          <w:w w:val="105"/>
          <w:sz w:val="24"/>
          <w:szCs w:val="24"/>
        </w:rPr>
      </w:pPr>
    </w:p>
    <w:p w14:paraId="1EC7483D" w14:textId="77777777" w:rsidR="00DD7465" w:rsidRPr="00A87C97" w:rsidRDefault="00DD7465" w:rsidP="00DD7465">
      <w:pPr>
        <w:pStyle w:val="Corpotesto"/>
        <w:rPr>
          <w:rFonts w:ascii="Calibri" w:hAnsi="Calibri" w:cs="Calibri"/>
          <w:w w:val="105"/>
          <w:sz w:val="24"/>
          <w:szCs w:val="24"/>
        </w:rPr>
      </w:pPr>
      <w:r w:rsidRPr="00A87C97">
        <w:rPr>
          <w:rFonts w:ascii="Calibri" w:hAnsi="Calibri" w:cs="Calibri"/>
          <w:w w:val="105"/>
          <w:sz w:val="24"/>
          <w:szCs w:val="24"/>
        </w:rPr>
        <w:t>Le analisi condotte confermano che uno dei principali elementi di forza della composizione negoziata è rappresentato dalle tempistiche di svolgimento della procedura che, per espressa previsione normativa</w:t>
      </w:r>
      <w:r w:rsidRPr="00A87C97">
        <w:rPr>
          <w:rStyle w:val="Rimandonotaapidipagina"/>
          <w:rFonts w:ascii="Calibri" w:hAnsi="Calibri" w:cs="Calibri"/>
          <w:w w:val="105"/>
          <w:sz w:val="24"/>
          <w:szCs w:val="24"/>
        </w:rPr>
        <w:footnoteReference w:id="1"/>
      </w:r>
      <w:r w:rsidRPr="00A87C97">
        <w:rPr>
          <w:rFonts w:ascii="Calibri" w:hAnsi="Calibri" w:cs="Calibri"/>
          <w:w w:val="105"/>
          <w:sz w:val="24"/>
          <w:szCs w:val="24"/>
        </w:rPr>
        <w:t xml:space="preserve">, sono più rapide e contenute rispetto a quelle giudiziali delle procedure concorsuali. </w:t>
      </w:r>
    </w:p>
    <w:p w14:paraId="5E2B0BB3" w14:textId="77777777" w:rsidR="00A87C97" w:rsidRPr="00A87C97" w:rsidRDefault="00A87C97" w:rsidP="00A87C97">
      <w:pPr>
        <w:rPr>
          <w:rFonts w:ascii="Calibri" w:hAnsi="Calibri" w:cs="Calibri"/>
          <w:w w:val="105"/>
          <w:szCs w:val="24"/>
        </w:rPr>
      </w:pPr>
      <w:r w:rsidRPr="00A87C97">
        <w:rPr>
          <w:rFonts w:ascii="Calibri" w:hAnsi="Calibri" w:cs="Calibri"/>
          <w:w w:val="105"/>
          <w:szCs w:val="24"/>
        </w:rPr>
        <w:t xml:space="preserve">Le procedure durano, in media, 228 giorni (224 nel 2024) ed il 64% delle imprese continua ad avvalersi della proroga. Le tempistiche necessarie per giungere a una chiusura favorevole della composizione negoziata sono mediamente di 320 </w:t>
      </w:r>
      <w:r w:rsidR="00DD7465">
        <w:rPr>
          <w:rFonts w:ascii="Calibri" w:hAnsi="Calibri" w:cs="Calibri"/>
          <w:w w:val="105"/>
          <w:szCs w:val="24"/>
        </w:rPr>
        <w:t>giorni</w:t>
      </w:r>
      <w:r w:rsidRPr="00A87C97">
        <w:rPr>
          <w:rFonts w:ascii="Calibri" w:hAnsi="Calibri" w:cs="Calibri"/>
          <w:w w:val="105"/>
          <w:szCs w:val="24"/>
        </w:rPr>
        <w:t xml:space="preserve"> e quasi la totalità delle imprese (circa l’86%) necessita, infatti, di più di sei mesi per concludere il procedimento.</w:t>
      </w:r>
    </w:p>
    <w:p w14:paraId="346CAD11" w14:textId="77777777" w:rsidR="00A87C97" w:rsidRDefault="00DD7465" w:rsidP="00DD7465">
      <w:pPr>
        <w:rPr>
          <w:rFonts w:ascii="Calibri" w:hAnsi="Calibri" w:cs="Calibri"/>
          <w:w w:val="105"/>
          <w:szCs w:val="24"/>
        </w:rPr>
      </w:pPr>
      <w:r>
        <w:rPr>
          <w:rFonts w:ascii="Calibri" w:hAnsi="Calibri" w:cs="Calibri"/>
          <w:w w:val="105"/>
          <w:szCs w:val="24"/>
        </w:rPr>
        <w:t>Nei casi di esito sfavorevole</w:t>
      </w:r>
      <w:r w:rsidR="00A87C97" w:rsidRPr="00A87C97">
        <w:rPr>
          <w:rFonts w:ascii="Calibri" w:hAnsi="Calibri" w:cs="Calibri"/>
          <w:w w:val="105"/>
          <w:szCs w:val="24"/>
        </w:rPr>
        <w:t>, invece, la durata media è di 207 giorni con il 51% di imprese che, nonostante poi le trattative non vadano a buon fine, ricorre alla proroga.</w:t>
      </w:r>
    </w:p>
    <w:p w14:paraId="48383340" w14:textId="77777777" w:rsidR="00DD7465" w:rsidRPr="00A87C97" w:rsidRDefault="00DD7465" w:rsidP="00DD7465">
      <w:pPr>
        <w:rPr>
          <w:rFonts w:ascii="Calibri" w:hAnsi="Calibri" w:cs="Calibri"/>
          <w:w w:val="105"/>
          <w:szCs w:val="24"/>
        </w:rPr>
      </w:pPr>
    </w:p>
    <w:p w14:paraId="2F13026E" w14:textId="77777777" w:rsidR="00A87C97" w:rsidRPr="00A87C97" w:rsidRDefault="00A87C97" w:rsidP="00DD7465">
      <w:pPr>
        <w:contextualSpacing/>
        <w:rPr>
          <w:rFonts w:ascii="Calibri" w:hAnsi="Calibri" w:cs="Calibri"/>
          <w:iCs/>
          <w:szCs w:val="24"/>
        </w:rPr>
      </w:pPr>
      <w:r w:rsidRPr="00A87C97">
        <w:rPr>
          <w:rFonts w:ascii="Calibri" w:hAnsi="Calibri" w:cs="Calibri"/>
          <w:iCs/>
          <w:szCs w:val="24"/>
        </w:rPr>
        <w:t>La maggior parte delle imprese che hanno concluso positivamente la procedura ha sede in Lombardia e, a seguire, in Veneto, Emilia Romagna, Lazio e Toscana.</w:t>
      </w:r>
    </w:p>
    <w:p w14:paraId="07510A2F" w14:textId="77777777" w:rsidR="00A87C97" w:rsidRPr="00DD7465" w:rsidRDefault="00DD7465" w:rsidP="00A87C97">
      <w:pPr>
        <w:rPr>
          <w:rFonts w:ascii="Calibri" w:hAnsi="Calibri" w:cs="Calibri"/>
          <w:iCs/>
          <w:szCs w:val="24"/>
        </w:rPr>
      </w:pPr>
      <w:r>
        <w:rPr>
          <w:rFonts w:ascii="Calibri" w:hAnsi="Calibri" w:cs="Calibri"/>
          <w:iCs/>
          <w:szCs w:val="24"/>
        </w:rPr>
        <w:t>I settori economici più rappresentati sono le</w:t>
      </w:r>
      <w:r w:rsidR="00A87C97" w:rsidRPr="00DD7465">
        <w:rPr>
          <w:rFonts w:ascii="Calibri" w:hAnsi="Calibri" w:cs="Calibri"/>
          <w:iCs/>
          <w:szCs w:val="24"/>
        </w:rPr>
        <w:t xml:space="preserve"> attività manifatturiere (22,6%), </w:t>
      </w:r>
      <w:r>
        <w:rPr>
          <w:rFonts w:ascii="Calibri" w:hAnsi="Calibri" w:cs="Calibri"/>
          <w:iCs/>
          <w:szCs w:val="24"/>
        </w:rPr>
        <w:t>i</w:t>
      </w:r>
      <w:r w:rsidR="00A87C97" w:rsidRPr="00DD7465">
        <w:rPr>
          <w:rFonts w:ascii="Calibri" w:hAnsi="Calibri" w:cs="Calibri"/>
          <w:iCs/>
          <w:szCs w:val="24"/>
        </w:rPr>
        <w:t xml:space="preserve">l commercio all’ingrosso e al dettaglio (20,8%) e </w:t>
      </w:r>
      <w:r>
        <w:rPr>
          <w:rFonts w:ascii="Calibri" w:hAnsi="Calibri" w:cs="Calibri"/>
          <w:iCs/>
          <w:szCs w:val="24"/>
        </w:rPr>
        <w:t>le</w:t>
      </w:r>
      <w:r w:rsidR="00A87C97" w:rsidRPr="00DD7465">
        <w:rPr>
          <w:rFonts w:ascii="Calibri" w:hAnsi="Calibri" w:cs="Calibri"/>
          <w:iCs/>
          <w:szCs w:val="24"/>
        </w:rPr>
        <w:t xml:space="preserve"> costruzioni (15,2%). </w:t>
      </w:r>
      <w:r w:rsidR="00A87C97" w:rsidRPr="00DD7465">
        <w:rPr>
          <w:rFonts w:ascii="Calibri" w:hAnsi="Calibri" w:cs="Calibri"/>
          <w:szCs w:val="24"/>
        </w:rPr>
        <w:t>Il numero di addetti convolti nei processi di risanamento è di oltre 22.800; il valore medio di addetti per impresa è 70 e, nelle classi dai 10 addetti in su, si concentra oltre il 59% delle imprese, di cui il 16% presenta un numero di addetti superiore a 100.</w:t>
      </w:r>
      <w:r w:rsidR="00A87C97" w:rsidRPr="00DD7465">
        <w:rPr>
          <w:rFonts w:ascii="Calibri" w:hAnsi="Calibri" w:cs="Calibri"/>
          <w:iCs/>
          <w:szCs w:val="24"/>
        </w:rPr>
        <w:t>Il valore medio della produzione delle imprese considerate, invece, è di circa 16 milioni di euro.</w:t>
      </w:r>
    </w:p>
    <w:p w14:paraId="4B0066D8" w14:textId="77777777" w:rsidR="00A87C97" w:rsidRDefault="00A87C97" w:rsidP="00A87C97">
      <w:pPr>
        <w:spacing w:line="276" w:lineRule="auto"/>
        <w:contextualSpacing/>
        <w:rPr>
          <w:rFonts w:ascii="Calibri" w:hAnsi="Calibri" w:cs="Calibri"/>
          <w:iCs/>
          <w:szCs w:val="24"/>
        </w:rPr>
      </w:pPr>
    </w:p>
    <w:p w14:paraId="69764807" w14:textId="77777777" w:rsidR="00A16FF8" w:rsidRDefault="0015103E" w:rsidP="00A87C97">
      <w:pPr>
        <w:spacing w:line="276" w:lineRule="auto"/>
        <w:contextualSpacing/>
      </w:pPr>
      <w:r w:rsidRPr="008E35C3">
        <w:rPr>
          <w:noProof/>
        </w:rPr>
        <w:drawing>
          <wp:inline distT="0" distB="0" distL="0" distR="0" wp14:anchorId="5BCB21C1" wp14:editId="1ADAC6A1">
            <wp:extent cx="5575935" cy="2802255"/>
            <wp:effectExtent l="0" t="0" r="0" b="0"/>
            <wp:docPr id="1" name="Immagin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935" cy="28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63365" w14:textId="77777777" w:rsidR="007E601C" w:rsidRDefault="007E601C" w:rsidP="00A87C97">
      <w:pPr>
        <w:spacing w:line="276" w:lineRule="auto"/>
        <w:contextualSpacing/>
        <w:rPr>
          <w:rFonts w:ascii="Calibri" w:hAnsi="Calibri" w:cs="Calibri"/>
          <w:iCs/>
          <w:szCs w:val="24"/>
        </w:rPr>
      </w:pPr>
    </w:p>
    <w:p w14:paraId="5DDE9763" w14:textId="77777777" w:rsidR="007E601C" w:rsidRDefault="007E601C" w:rsidP="00A87C97">
      <w:pPr>
        <w:spacing w:line="276" w:lineRule="auto"/>
        <w:contextualSpacing/>
        <w:rPr>
          <w:rFonts w:ascii="Calibri" w:hAnsi="Calibri" w:cs="Calibri"/>
          <w:iCs/>
          <w:szCs w:val="24"/>
        </w:rPr>
      </w:pPr>
    </w:p>
    <w:p w14:paraId="3F6287CF" w14:textId="77777777" w:rsidR="007E601C" w:rsidRPr="007E601C" w:rsidRDefault="007E601C" w:rsidP="007E601C">
      <w:pPr>
        <w:spacing w:before="240" w:line="276" w:lineRule="auto"/>
        <w:rPr>
          <w:rFonts w:ascii="Calibri" w:hAnsi="Calibri" w:cs="Calibri"/>
          <w:b/>
          <w:bCs/>
          <w:iCs/>
          <w:w w:val="95"/>
        </w:rPr>
      </w:pPr>
      <w:r w:rsidRPr="007E601C">
        <w:rPr>
          <w:rFonts w:ascii="Calibri" w:hAnsi="Calibri" w:cs="Calibri"/>
          <w:b/>
          <w:bCs/>
          <w:iCs/>
          <w:w w:val="95"/>
        </w:rPr>
        <w:t>Distribuzione regionale</w:t>
      </w:r>
      <w:r w:rsidRPr="007E601C">
        <w:rPr>
          <w:rFonts w:ascii="Calibri" w:hAnsi="Calibri" w:cs="Calibri"/>
          <w:b/>
          <w:bCs/>
          <w:iCs/>
          <w:spacing w:val="2"/>
          <w:w w:val="95"/>
        </w:rPr>
        <w:t xml:space="preserve"> </w:t>
      </w:r>
      <w:r w:rsidRPr="007E601C">
        <w:rPr>
          <w:rFonts w:ascii="Calibri" w:hAnsi="Calibri" w:cs="Calibri"/>
          <w:b/>
          <w:bCs/>
          <w:iCs/>
          <w:w w:val="95"/>
        </w:rPr>
        <w:t>delle istanze</w:t>
      </w:r>
    </w:p>
    <w:tbl>
      <w:tblPr>
        <w:tblW w:w="7519" w:type="dxa"/>
        <w:tblInd w:w="108" w:type="dxa"/>
        <w:tblBorders>
          <w:top w:val="single" w:sz="4" w:space="0" w:color="D99594"/>
          <w:left w:val="single" w:sz="4" w:space="0" w:color="D99594"/>
          <w:bottom w:val="single" w:sz="4" w:space="0" w:color="D99594"/>
          <w:right w:val="single" w:sz="4" w:space="0" w:color="D99594"/>
          <w:insideH w:val="single" w:sz="4" w:space="0" w:color="D99594"/>
        </w:tblBorders>
        <w:tblLook w:val="04A0" w:firstRow="1" w:lastRow="0" w:firstColumn="1" w:lastColumn="0" w:noHBand="0" w:noVBand="1"/>
      </w:tblPr>
      <w:tblGrid>
        <w:gridCol w:w="2977"/>
        <w:gridCol w:w="1985"/>
        <w:gridCol w:w="2557"/>
      </w:tblGrid>
      <w:tr w:rsidR="00BF7272" w:rsidRPr="00E53F20" w14:paraId="0D3EDC1F" w14:textId="77777777" w:rsidTr="00E53F20">
        <w:trPr>
          <w:trHeight w:val="227"/>
        </w:trPr>
        <w:tc>
          <w:tcPr>
            <w:tcW w:w="2977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</w:tcBorders>
            <w:shd w:val="clear" w:color="auto" w:fill="C0504D"/>
            <w:noWrap/>
          </w:tcPr>
          <w:p w14:paraId="4200D7AE" w14:textId="77777777" w:rsidR="007E601C" w:rsidRPr="00E53F20" w:rsidRDefault="007E601C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FFFFFF"/>
                <w:sz w:val="20"/>
                <w:szCs w:val="22"/>
              </w:rPr>
            </w:pPr>
            <w:r w:rsidRPr="00E53F20">
              <w:rPr>
                <w:rFonts w:ascii="Calibri" w:eastAsia="Calibri" w:hAnsi="Calibri" w:cs="Calibri"/>
                <w:b/>
                <w:bCs/>
                <w:color w:val="FFFFFF"/>
                <w:sz w:val="20"/>
                <w:szCs w:val="22"/>
              </w:rPr>
              <w:t>Regione</w:t>
            </w:r>
          </w:p>
        </w:tc>
        <w:tc>
          <w:tcPr>
            <w:tcW w:w="1985" w:type="dxa"/>
            <w:tcBorders>
              <w:top w:val="single" w:sz="4" w:space="0" w:color="C0504D"/>
              <w:bottom w:val="single" w:sz="4" w:space="0" w:color="C0504D"/>
            </w:tcBorders>
            <w:shd w:val="clear" w:color="auto" w:fill="C0504D"/>
            <w:noWrap/>
          </w:tcPr>
          <w:p w14:paraId="355F12FE" w14:textId="77777777" w:rsidR="007E601C" w:rsidRPr="00E53F20" w:rsidRDefault="007E601C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20"/>
                <w:szCs w:val="22"/>
              </w:rPr>
            </w:pPr>
            <w:r w:rsidRPr="00E53F20">
              <w:rPr>
                <w:rFonts w:ascii="Calibri" w:eastAsia="Calibri" w:hAnsi="Calibri" w:cs="Calibri"/>
                <w:b/>
                <w:bCs/>
                <w:color w:val="FFFFFF"/>
                <w:sz w:val="20"/>
                <w:szCs w:val="22"/>
              </w:rPr>
              <w:t>Numero</w:t>
            </w:r>
          </w:p>
        </w:tc>
        <w:tc>
          <w:tcPr>
            <w:tcW w:w="2557" w:type="dxa"/>
            <w:tcBorders>
              <w:top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C0504D"/>
            <w:noWrap/>
          </w:tcPr>
          <w:p w14:paraId="1B685984" w14:textId="77777777" w:rsidR="007E601C" w:rsidRPr="00E53F20" w:rsidRDefault="007E601C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20"/>
                <w:szCs w:val="22"/>
              </w:rPr>
            </w:pPr>
            <w:r w:rsidRPr="00E53F20">
              <w:rPr>
                <w:rFonts w:ascii="Calibri" w:eastAsia="Calibri" w:hAnsi="Calibri" w:cs="Calibri"/>
                <w:b/>
                <w:bCs/>
                <w:color w:val="FFFFFF"/>
                <w:sz w:val="20"/>
                <w:szCs w:val="22"/>
              </w:rPr>
              <w:t>Percentuale</w:t>
            </w:r>
          </w:p>
        </w:tc>
      </w:tr>
      <w:tr w:rsidR="007D0A16" w:rsidRPr="007D0A16" w14:paraId="553BF811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3F8F4975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Lombardia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7701F02E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801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20681D62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23,0%</w:t>
            </w:r>
          </w:p>
        </w:tc>
      </w:tr>
      <w:tr w:rsidR="007D0A16" w:rsidRPr="007D0A16" w14:paraId="63459202" w14:textId="77777777" w:rsidTr="00E53F20">
        <w:trPr>
          <w:trHeight w:val="227"/>
        </w:trPr>
        <w:tc>
          <w:tcPr>
            <w:tcW w:w="2977" w:type="dxa"/>
            <w:noWrap/>
            <w:hideMark/>
          </w:tcPr>
          <w:p w14:paraId="78A8783E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Lazio</w:t>
            </w:r>
          </w:p>
        </w:tc>
        <w:tc>
          <w:tcPr>
            <w:tcW w:w="1985" w:type="dxa"/>
            <w:noWrap/>
            <w:hideMark/>
          </w:tcPr>
          <w:p w14:paraId="7219DB15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380</w:t>
            </w:r>
          </w:p>
        </w:tc>
        <w:tc>
          <w:tcPr>
            <w:tcW w:w="2557" w:type="dxa"/>
            <w:noWrap/>
            <w:hideMark/>
          </w:tcPr>
          <w:p w14:paraId="64F69882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10,9%</w:t>
            </w:r>
          </w:p>
        </w:tc>
      </w:tr>
      <w:tr w:rsidR="007D0A16" w:rsidRPr="007D0A16" w14:paraId="1FF8B6CE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7EFF4E4F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Emilia-Romagna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236C2902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350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076DF265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10,0%</w:t>
            </w:r>
          </w:p>
        </w:tc>
      </w:tr>
      <w:tr w:rsidR="007D0A16" w:rsidRPr="007D0A16" w14:paraId="361155C1" w14:textId="77777777" w:rsidTr="00E53F20">
        <w:trPr>
          <w:trHeight w:val="227"/>
        </w:trPr>
        <w:tc>
          <w:tcPr>
            <w:tcW w:w="2977" w:type="dxa"/>
            <w:noWrap/>
            <w:hideMark/>
          </w:tcPr>
          <w:p w14:paraId="2389B376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Veneto</w:t>
            </w:r>
          </w:p>
        </w:tc>
        <w:tc>
          <w:tcPr>
            <w:tcW w:w="1985" w:type="dxa"/>
            <w:noWrap/>
            <w:hideMark/>
          </w:tcPr>
          <w:p w14:paraId="74B6794D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314</w:t>
            </w:r>
          </w:p>
        </w:tc>
        <w:tc>
          <w:tcPr>
            <w:tcW w:w="2557" w:type="dxa"/>
            <w:noWrap/>
            <w:hideMark/>
          </w:tcPr>
          <w:p w14:paraId="17586B19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9,0%</w:t>
            </w:r>
          </w:p>
        </w:tc>
      </w:tr>
      <w:tr w:rsidR="007D0A16" w:rsidRPr="007D0A16" w14:paraId="10D78A1C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5213A561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Toscana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56BC5307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247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11CA16C0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7,1%</w:t>
            </w:r>
          </w:p>
        </w:tc>
      </w:tr>
      <w:tr w:rsidR="007D0A16" w:rsidRPr="007D0A16" w14:paraId="0BC8FC0A" w14:textId="77777777" w:rsidTr="00E53F20">
        <w:trPr>
          <w:trHeight w:val="227"/>
        </w:trPr>
        <w:tc>
          <w:tcPr>
            <w:tcW w:w="2977" w:type="dxa"/>
            <w:noWrap/>
            <w:hideMark/>
          </w:tcPr>
          <w:p w14:paraId="37DA1D27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Piemonte</w:t>
            </w:r>
          </w:p>
        </w:tc>
        <w:tc>
          <w:tcPr>
            <w:tcW w:w="1985" w:type="dxa"/>
            <w:noWrap/>
            <w:hideMark/>
          </w:tcPr>
          <w:p w14:paraId="459D37DC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237</w:t>
            </w:r>
          </w:p>
        </w:tc>
        <w:tc>
          <w:tcPr>
            <w:tcW w:w="2557" w:type="dxa"/>
            <w:noWrap/>
            <w:hideMark/>
          </w:tcPr>
          <w:p w14:paraId="3B74D2D5" w14:textId="77777777" w:rsidR="007D0A16" w:rsidRPr="007D0A16" w:rsidRDefault="007D0A16" w:rsidP="00E53F20">
            <w:pPr>
              <w:widowControl w:val="0"/>
              <w:autoSpaceDE w:val="0"/>
              <w:autoSpaceDN w:val="0"/>
              <w:ind w:left="-246" w:firstLine="246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6,8%</w:t>
            </w:r>
          </w:p>
        </w:tc>
      </w:tr>
      <w:tr w:rsidR="007D0A16" w:rsidRPr="007D0A16" w14:paraId="46C1E4F4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3879CA20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Campania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334BF3D5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225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03D613CA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6,5%</w:t>
            </w:r>
          </w:p>
        </w:tc>
      </w:tr>
      <w:tr w:rsidR="007D0A16" w:rsidRPr="007D0A16" w14:paraId="31E6CA66" w14:textId="77777777" w:rsidTr="00E53F20">
        <w:trPr>
          <w:trHeight w:val="227"/>
        </w:trPr>
        <w:tc>
          <w:tcPr>
            <w:tcW w:w="2977" w:type="dxa"/>
            <w:noWrap/>
            <w:hideMark/>
          </w:tcPr>
          <w:p w14:paraId="177943CD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 xml:space="preserve">Puglia </w:t>
            </w:r>
          </w:p>
        </w:tc>
        <w:tc>
          <w:tcPr>
            <w:tcW w:w="1985" w:type="dxa"/>
            <w:noWrap/>
            <w:hideMark/>
          </w:tcPr>
          <w:p w14:paraId="222ADD2D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210</w:t>
            </w:r>
          </w:p>
        </w:tc>
        <w:tc>
          <w:tcPr>
            <w:tcW w:w="2557" w:type="dxa"/>
            <w:noWrap/>
            <w:hideMark/>
          </w:tcPr>
          <w:p w14:paraId="6173C8AF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6,0%</w:t>
            </w:r>
          </w:p>
        </w:tc>
      </w:tr>
      <w:tr w:rsidR="007D0A16" w:rsidRPr="007D0A16" w14:paraId="730617E7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7DEF8950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Abruzzo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6973AF3B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123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16165D4D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3,5%</w:t>
            </w:r>
          </w:p>
        </w:tc>
      </w:tr>
      <w:tr w:rsidR="007D0A16" w:rsidRPr="007D0A16" w14:paraId="3B624674" w14:textId="77777777" w:rsidTr="00E53F20">
        <w:trPr>
          <w:trHeight w:val="227"/>
        </w:trPr>
        <w:tc>
          <w:tcPr>
            <w:tcW w:w="2977" w:type="dxa"/>
            <w:noWrap/>
            <w:hideMark/>
          </w:tcPr>
          <w:p w14:paraId="4BCFFD51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Sicilia</w:t>
            </w:r>
          </w:p>
        </w:tc>
        <w:tc>
          <w:tcPr>
            <w:tcW w:w="1985" w:type="dxa"/>
            <w:noWrap/>
            <w:hideMark/>
          </w:tcPr>
          <w:p w14:paraId="0535E4C5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115</w:t>
            </w:r>
          </w:p>
        </w:tc>
        <w:tc>
          <w:tcPr>
            <w:tcW w:w="2557" w:type="dxa"/>
            <w:noWrap/>
            <w:hideMark/>
          </w:tcPr>
          <w:p w14:paraId="7F9612F5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3,3%</w:t>
            </w:r>
          </w:p>
        </w:tc>
      </w:tr>
      <w:tr w:rsidR="007D0A16" w:rsidRPr="007D0A16" w14:paraId="302F1200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443596F3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Umbria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56ECB4B4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114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51DD41B8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3,3%</w:t>
            </w:r>
          </w:p>
        </w:tc>
      </w:tr>
      <w:tr w:rsidR="007D0A16" w:rsidRPr="007D0A16" w14:paraId="38BE0187" w14:textId="77777777" w:rsidTr="00E53F20">
        <w:trPr>
          <w:trHeight w:val="227"/>
        </w:trPr>
        <w:tc>
          <w:tcPr>
            <w:tcW w:w="2977" w:type="dxa"/>
            <w:noWrap/>
            <w:hideMark/>
          </w:tcPr>
          <w:p w14:paraId="18D261E5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Marche</w:t>
            </w:r>
          </w:p>
        </w:tc>
        <w:tc>
          <w:tcPr>
            <w:tcW w:w="1985" w:type="dxa"/>
            <w:noWrap/>
            <w:hideMark/>
          </w:tcPr>
          <w:p w14:paraId="5A024423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65</w:t>
            </w:r>
          </w:p>
        </w:tc>
        <w:tc>
          <w:tcPr>
            <w:tcW w:w="2557" w:type="dxa"/>
            <w:noWrap/>
            <w:hideMark/>
          </w:tcPr>
          <w:p w14:paraId="23FCEA87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1,9%</w:t>
            </w:r>
          </w:p>
        </w:tc>
      </w:tr>
      <w:tr w:rsidR="007D0A16" w:rsidRPr="007D0A16" w14:paraId="0AEA271F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6C4D72A1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Liguria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72337B7A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57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3C14F43A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1,6%</w:t>
            </w:r>
          </w:p>
        </w:tc>
      </w:tr>
      <w:tr w:rsidR="007D0A16" w:rsidRPr="007D0A16" w14:paraId="3AACDB8C" w14:textId="77777777" w:rsidTr="00E53F20">
        <w:trPr>
          <w:trHeight w:val="227"/>
        </w:trPr>
        <w:tc>
          <w:tcPr>
            <w:tcW w:w="2977" w:type="dxa"/>
            <w:noWrap/>
            <w:hideMark/>
          </w:tcPr>
          <w:p w14:paraId="53EB7FC4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 xml:space="preserve">Friuli-Venezia Giulia </w:t>
            </w:r>
          </w:p>
        </w:tc>
        <w:tc>
          <w:tcPr>
            <w:tcW w:w="1985" w:type="dxa"/>
            <w:noWrap/>
            <w:hideMark/>
          </w:tcPr>
          <w:p w14:paraId="0C916231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57</w:t>
            </w:r>
          </w:p>
        </w:tc>
        <w:tc>
          <w:tcPr>
            <w:tcW w:w="2557" w:type="dxa"/>
            <w:noWrap/>
            <w:hideMark/>
          </w:tcPr>
          <w:p w14:paraId="40709910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1,6%</w:t>
            </w:r>
          </w:p>
        </w:tc>
      </w:tr>
      <w:tr w:rsidR="007D0A16" w:rsidRPr="007D0A16" w14:paraId="032A81FD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146F5072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Sardegna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0D6DDCF0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52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4AC1AD84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1,5%</w:t>
            </w:r>
          </w:p>
        </w:tc>
      </w:tr>
      <w:tr w:rsidR="007D0A16" w:rsidRPr="007D0A16" w14:paraId="140D7727" w14:textId="77777777" w:rsidTr="00E53F20">
        <w:trPr>
          <w:trHeight w:val="227"/>
        </w:trPr>
        <w:tc>
          <w:tcPr>
            <w:tcW w:w="2977" w:type="dxa"/>
            <w:noWrap/>
            <w:hideMark/>
          </w:tcPr>
          <w:p w14:paraId="10C98301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Calabria</w:t>
            </w:r>
          </w:p>
        </w:tc>
        <w:tc>
          <w:tcPr>
            <w:tcW w:w="1985" w:type="dxa"/>
            <w:noWrap/>
            <w:hideMark/>
          </w:tcPr>
          <w:p w14:paraId="1DB38AC5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39</w:t>
            </w:r>
          </w:p>
        </w:tc>
        <w:tc>
          <w:tcPr>
            <w:tcW w:w="2557" w:type="dxa"/>
            <w:noWrap/>
            <w:hideMark/>
          </w:tcPr>
          <w:p w14:paraId="0BDF6409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1,1%</w:t>
            </w:r>
          </w:p>
        </w:tc>
      </w:tr>
      <w:tr w:rsidR="007D0A16" w:rsidRPr="007D0A16" w14:paraId="7E68AEF5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63A0CA63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Basilicata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2A813326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33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399403F5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0,9%</w:t>
            </w:r>
          </w:p>
        </w:tc>
      </w:tr>
      <w:tr w:rsidR="007D0A16" w:rsidRPr="007D0A16" w14:paraId="7A4393FC" w14:textId="77777777" w:rsidTr="00E53F20">
        <w:trPr>
          <w:trHeight w:val="227"/>
        </w:trPr>
        <w:tc>
          <w:tcPr>
            <w:tcW w:w="2977" w:type="dxa"/>
            <w:noWrap/>
            <w:hideMark/>
          </w:tcPr>
          <w:p w14:paraId="110CEEDC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Molise</w:t>
            </w:r>
          </w:p>
        </w:tc>
        <w:tc>
          <w:tcPr>
            <w:tcW w:w="1985" w:type="dxa"/>
            <w:noWrap/>
            <w:hideMark/>
          </w:tcPr>
          <w:p w14:paraId="38341928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22</w:t>
            </w:r>
          </w:p>
        </w:tc>
        <w:tc>
          <w:tcPr>
            <w:tcW w:w="2557" w:type="dxa"/>
            <w:noWrap/>
            <w:hideMark/>
          </w:tcPr>
          <w:p w14:paraId="41B5E5F4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0,6%</w:t>
            </w:r>
          </w:p>
        </w:tc>
      </w:tr>
      <w:tr w:rsidR="007D0A16" w:rsidRPr="007D0A16" w14:paraId="43209A37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0D911C4B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Provincia autonoma Trento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12F71263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19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2B8908BA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0,5%</w:t>
            </w:r>
          </w:p>
        </w:tc>
      </w:tr>
      <w:tr w:rsidR="007D0A16" w:rsidRPr="007D0A16" w14:paraId="4C3890FF" w14:textId="77777777" w:rsidTr="00E53F20">
        <w:trPr>
          <w:trHeight w:val="227"/>
        </w:trPr>
        <w:tc>
          <w:tcPr>
            <w:tcW w:w="2977" w:type="dxa"/>
            <w:noWrap/>
            <w:hideMark/>
          </w:tcPr>
          <w:p w14:paraId="54C9173B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Valle d'Aosta</w:t>
            </w:r>
          </w:p>
        </w:tc>
        <w:tc>
          <w:tcPr>
            <w:tcW w:w="1985" w:type="dxa"/>
            <w:noWrap/>
            <w:hideMark/>
          </w:tcPr>
          <w:p w14:paraId="418D17D0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13</w:t>
            </w:r>
          </w:p>
        </w:tc>
        <w:tc>
          <w:tcPr>
            <w:tcW w:w="2557" w:type="dxa"/>
            <w:noWrap/>
            <w:hideMark/>
          </w:tcPr>
          <w:p w14:paraId="5CD7572F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0,4%</w:t>
            </w:r>
          </w:p>
        </w:tc>
      </w:tr>
      <w:tr w:rsidR="007D0A16" w:rsidRPr="007D0A16" w14:paraId="5F6BB2DE" w14:textId="77777777" w:rsidTr="00E53F20">
        <w:trPr>
          <w:trHeight w:val="227"/>
        </w:trPr>
        <w:tc>
          <w:tcPr>
            <w:tcW w:w="2977" w:type="dxa"/>
            <w:shd w:val="clear" w:color="auto" w:fill="F2DBDB"/>
            <w:noWrap/>
            <w:hideMark/>
          </w:tcPr>
          <w:p w14:paraId="311F6832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Provincia autonoma Bolzano</w:t>
            </w:r>
          </w:p>
        </w:tc>
        <w:tc>
          <w:tcPr>
            <w:tcW w:w="1985" w:type="dxa"/>
            <w:shd w:val="clear" w:color="auto" w:fill="F2DBDB"/>
            <w:noWrap/>
            <w:hideMark/>
          </w:tcPr>
          <w:p w14:paraId="1CED0CAD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10</w:t>
            </w:r>
          </w:p>
        </w:tc>
        <w:tc>
          <w:tcPr>
            <w:tcW w:w="2557" w:type="dxa"/>
            <w:shd w:val="clear" w:color="auto" w:fill="F2DBDB"/>
            <w:noWrap/>
            <w:hideMark/>
          </w:tcPr>
          <w:p w14:paraId="4D0BF967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color w:val="000000"/>
                <w:sz w:val="20"/>
              </w:rPr>
              <w:t>0,3%</w:t>
            </w:r>
          </w:p>
        </w:tc>
      </w:tr>
      <w:tr w:rsidR="007D0A16" w:rsidRPr="007D0A16" w14:paraId="0A97507F" w14:textId="77777777" w:rsidTr="00E53F20">
        <w:trPr>
          <w:trHeight w:val="227"/>
        </w:trPr>
        <w:tc>
          <w:tcPr>
            <w:tcW w:w="2977" w:type="dxa"/>
            <w:noWrap/>
          </w:tcPr>
          <w:p w14:paraId="41B9CF4E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left"/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color w:val="000000"/>
                <w:sz w:val="20"/>
              </w:rPr>
              <w:t>Totale</w:t>
            </w:r>
          </w:p>
        </w:tc>
        <w:tc>
          <w:tcPr>
            <w:tcW w:w="1985" w:type="dxa"/>
            <w:noWrap/>
          </w:tcPr>
          <w:p w14:paraId="1052C951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sz w:val="20"/>
              </w:rPr>
              <w:t>3.483</w:t>
            </w:r>
          </w:p>
        </w:tc>
        <w:tc>
          <w:tcPr>
            <w:tcW w:w="2557" w:type="dxa"/>
            <w:noWrap/>
          </w:tcPr>
          <w:p w14:paraId="5301E411" w14:textId="77777777" w:rsidR="007D0A16" w:rsidRPr="007D0A16" w:rsidRDefault="007D0A16" w:rsidP="00E53F20">
            <w:pPr>
              <w:widowControl w:val="0"/>
              <w:autoSpaceDE w:val="0"/>
              <w:autoSpaceDN w:val="0"/>
              <w:jc w:val="center"/>
              <w:rPr>
                <w:rFonts w:ascii="Calibri" w:eastAsia="Calibri" w:hAnsi="Calibri" w:cs="Calibri"/>
                <w:b/>
                <w:bCs/>
                <w:sz w:val="20"/>
              </w:rPr>
            </w:pPr>
            <w:r w:rsidRPr="007D0A16">
              <w:rPr>
                <w:rFonts w:ascii="Calibri" w:eastAsia="Calibri" w:hAnsi="Calibri" w:cs="Calibri"/>
                <w:b/>
                <w:bCs/>
                <w:sz w:val="20"/>
              </w:rPr>
              <w:t>100%</w:t>
            </w:r>
          </w:p>
        </w:tc>
      </w:tr>
    </w:tbl>
    <w:p w14:paraId="69F7D653" w14:textId="77777777" w:rsidR="00A87C97" w:rsidRDefault="00A87C97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</w:p>
    <w:p w14:paraId="63E62536" w14:textId="77777777" w:rsidR="00BF7272" w:rsidRDefault="00BF7272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</w:p>
    <w:p w14:paraId="0F2E7A83" w14:textId="77777777" w:rsidR="0019103C" w:rsidRDefault="0019103C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</w:p>
    <w:p w14:paraId="051EAAAB" w14:textId="77777777" w:rsidR="0019103C" w:rsidRDefault="0019103C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</w:p>
    <w:p w14:paraId="048602A5" w14:textId="77777777" w:rsidR="0019103C" w:rsidRDefault="0019103C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</w:p>
    <w:p w14:paraId="242020FA" w14:textId="77777777" w:rsidR="0019103C" w:rsidRDefault="0019103C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</w:p>
    <w:p w14:paraId="7F9DD0A9" w14:textId="77777777" w:rsidR="0019103C" w:rsidRDefault="0019103C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</w:p>
    <w:p w14:paraId="645AEC49" w14:textId="77777777" w:rsidR="0019103C" w:rsidRDefault="0019103C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</w:p>
    <w:p w14:paraId="0F27A755" w14:textId="77777777" w:rsidR="00954C75" w:rsidRPr="00BF7272" w:rsidRDefault="00954C75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</w:p>
    <w:p w14:paraId="7F4B1030" w14:textId="77777777" w:rsidR="007E601C" w:rsidRPr="00BF7272" w:rsidRDefault="007E601C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  <w:r w:rsidRPr="00BF7272">
        <w:rPr>
          <w:rFonts w:ascii="Calibri" w:hAnsi="Calibri" w:cs="Calibri"/>
          <w:b/>
          <w:bCs/>
          <w:w w:val="105"/>
          <w:sz w:val="24"/>
          <w:szCs w:val="24"/>
        </w:rPr>
        <w:t>La durata</w:t>
      </w:r>
    </w:p>
    <w:p w14:paraId="7DB8F6FF" w14:textId="77777777" w:rsidR="007D0A16" w:rsidRDefault="0015103E" w:rsidP="00A87C97">
      <w:pPr>
        <w:pStyle w:val="Corpotesto"/>
        <w:spacing w:before="120" w:after="120" w:line="276" w:lineRule="auto"/>
        <w:rPr>
          <w:w w:val="105"/>
        </w:rPr>
      </w:pPr>
      <w:r w:rsidRPr="008E35C3">
        <w:rPr>
          <w:noProof/>
        </w:rPr>
        <w:drawing>
          <wp:inline distT="0" distB="0" distL="0" distR="0" wp14:anchorId="5602C170" wp14:editId="42C3D34F">
            <wp:extent cx="4935855" cy="1931035"/>
            <wp:effectExtent l="0" t="0" r="0" b="0"/>
            <wp:docPr id="2" name="Immagin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855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894B1" w14:textId="77777777" w:rsidR="007D0A16" w:rsidRDefault="007D0A16" w:rsidP="00BF7272">
      <w:pPr>
        <w:pStyle w:val="Corpotesto"/>
        <w:rPr>
          <w:w w:val="105"/>
        </w:rPr>
      </w:pPr>
    </w:p>
    <w:p w14:paraId="649D0E1C" w14:textId="77777777" w:rsidR="0019103C" w:rsidRDefault="0019103C" w:rsidP="00BF7272">
      <w:pPr>
        <w:pStyle w:val="Corpotesto"/>
        <w:rPr>
          <w:w w:val="105"/>
        </w:rPr>
      </w:pPr>
    </w:p>
    <w:p w14:paraId="783330C5" w14:textId="77777777" w:rsidR="008E35C3" w:rsidRPr="00BF7272" w:rsidRDefault="008E35C3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  <w:r w:rsidRPr="00BF7272">
        <w:rPr>
          <w:rFonts w:ascii="Calibri" w:hAnsi="Calibri" w:cs="Calibri"/>
          <w:b/>
          <w:bCs/>
          <w:w w:val="105"/>
          <w:sz w:val="24"/>
          <w:szCs w:val="24"/>
        </w:rPr>
        <w:t xml:space="preserve">Casi positivi: </w:t>
      </w:r>
      <w:r w:rsidRPr="00BF7272">
        <w:rPr>
          <w:rFonts w:ascii="Calibri" w:hAnsi="Calibri" w:cs="Calibri"/>
          <w:b/>
          <w:bCs/>
          <w:w w:val="95"/>
          <w:sz w:val="24"/>
          <w:szCs w:val="24"/>
        </w:rPr>
        <w:t>Dimensione delle imprese per classe di addetti</w:t>
      </w:r>
    </w:p>
    <w:p w14:paraId="5EE2E548" w14:textId="77777777" w:rsidR="00BD4765" w:rsidRDefault="0015103E" w:rsidP="00BD4765">
      <w:pPr>
        <w:pStyle w:val="Corpotesto"/>
        <w:spacing w:line="276" w:lineRule="auto"/>
      </w:pPr>
      <w:r w:rsidRPr="008E35C3">
        <w:rPr>
          <w:noProof/>
        </w:rPr>
        <w:drawing>
          <wp:inline distT="0" distB="0" distL="0" distR="0" wp14:anchorId="6D8E4D92" wp14:editId="0742CC02">
            <wp:extent cx="5575935" cy="3474720"/>
            <wp:effectExtent l="0" t="0" r="0" b="0"/>
            <wp:docPr id="3" name="Im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935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2F4C4" w14:textId="77777777" w:rsidR="00BF7272" w:rsidRDefault="00BF7272" w:rsidP="00BD4765">
      <w:pPr>
        <w:pStyle w:val="Corpotesto"/>
        <w:spacing w:line="276" w:lineRule="auto"/>
      </w:pPr>
    </w:p>
    <w:p w14:paraId="57F4D579" w14:textId="77777777" w:rsidR="0019103C" w:rsidRDefault="0019103C" w:rsidP="00BD4765">
      <w:pPr>
        <w:pStyle w:val="Corpotesto"/>
        <w:spacing w:line="276" w:lineRule="auto"/>
      </w:pPr>
    </w:p>
    <w:p w14:paraId="66AE6DBA" w14:textId="77777777" w:rsidR="0019103C" w:rsidRDefault="0019103C" w:rsidP="00BD4765">
      <w:pPr>
        <w:pStyle w:val="Corpotesto"/>
        <w:spacing w:line="276" w:lineRule="auto"/>
      </w:pPr>
    </w:p>
    <w:p w14:paraId="4CB4728E" w14:textId="77777777" w:rsidR="0019103C" w:rsidRDefault="0019103C" w:rsidP="00BD4765">
      <w:pPr>
        <w:pStyle w:val="Corpotesto"/>
        <w:spacing w:line="276" w:lineRule="auto"/>
      </w:pPr>
    </w:p>
    <w:p w14:paraId="419B8056" w14:textId="77777777" w:rsidR="0019103C" w:rsidRDefault="0019103C" w:rsidP="00BD4765">
      <w:pPr>
        <w:pStyle w:val="Corpotesto"/>
        <w:spacing w:line="276" w:lineRule="auto"/>
      </w:pPr>
    </w:p>
    <w:p w14:paraId="0597396A" w14:textId="77777777" w:rsidR="0019103C" w:rsidRDefault="0019103C" w:rsidP="00BD4765">
      <w:pPr>
        <w:pStyle w:val="Corpotesto"/>
        <w:spacing w:line="276" w:lineRule="auto"/>
      </w:pPr>
    </w:p>
    <w:p w14:paraId="158246A4" w14:textId="77777777" w:rsidR="0019103C" w:rsidRDefault="0019103C" w:rsidP="00BD4765">
      <w:pPr>
        <w:pStyle w:val="Corpotesto"/>
        <w:spacing w:line="276" w:lineRule="auto"/>
      </w:pPr>
    </w:p>
    <w:p w14:paraId="41DCBEB8" w14:textId="77777777" w:rsidR="0019103C" w:rsidRDefault="0019103C" w:rsidP="00BD4765">
      <w:pPr>
        <w:pStyle w:val="Corpotesto"/>
        <w:spacing w:line="276" w:lineRule="auto"/>
      </w:pPr>
    </w:p>
    <w:p w14:paraId="4C8D7B13" w14:textId="77777777" w:rsidR="0019103C" w:rsidRDefault="0019103C" w:rsidP="00BD4765">
      <w:pPr>
        <w:pStyle w:val="Corpotesto"/>
        <w:spacing w:line="276" w:lineRule="auto"/>
      </w:pPr>
    </w:p>
    <w:p w14:paraId="6AB766C2" w14:textId="77777777" w:rsidR="0019103C" w:rsidRDefault="0019103C" w:rsidP="00BD4765">
      <w:pPr>
        <w:pStyle w:val="Corpotesto"/>
        <w:spacing w:line="276" w:lineRule="auto"/>
      </w:pPr>
    </w:p>
    <w:p w14:paraId="18EE1F08" w14:textId="77777777" w:rsidR="0019103C" w:rsidRDefault="0019103C" w:rsidP="00BD4765">
      <w:pPr>
        <w:pStyle w:val="Corpotesto"/>
        <w:spacing w:line="276" w:lineRule="auto"/>
      </w:pPr>
    </w:p>
    <w:p w14:paraId="022947BB" w14:textId="77777777" w:rsidR="0019103C" w:rsidRDefault="0019103C" w:rsidP="00BD4765">
      <w:pPr>
        <w:pStyle w:val="Corpotesto"/>
        <w:spacing w:line="276" w:lineRule="auto"/>
      </w:pPr>
    </w:p>
    <w:p w14:paraId="04B191E6" w14:textId="77777777" w:rsidR="008E35C3" w:rsidRPr="00BF7272" w:rsidRDefault="0019103C" w:rsidP="00BF7272">
      <w:pPr>
        <w:pStyle w:val="Corpotesto"/>
        <w:rPr>
          <w:rFonts w:ascii="Calibri" w:hAnsi="Calibri" w:cs="Calibri"/>
          <w:b/>
          <w:bCs/>
          <w:w w:val="105"/>
          <w:sz w:val="24"/>
          <w:szCs w:val="24"/>
        </w:rPr>
      </w:pPr>
      <w:r w:rsidRPr="0019103C">
        <w:rPr>
          <w:rFonts w:ascii="Calibri" w:hAnsi="Calibri" w:cs="Calibri"/>
        </w:rPr>
        <w:t>C</w:t>
      </w:r>
      <w:r w:rsidR="008E35C3" w:rsidRPr="00BF7272">
        <w:rPr>
          <w:rFonts w:ascii="Calibri" w:hAnsi="Calibri" w:cs="Calibri"/>
          <w:b/>
          <w:bCs/>
          <w:w w:val="105"/>
          <w:sz w:val="24"/>
          <w:szCs w:val="24"/>
        </w:rPr>
        <w:t xml:space="preserve">asi positivi: </w:t>
      </w:r>
      <w:r w:rsidR="008E35C3" w:rsidRPr="00BF7272">
        <w:rPr>
          <w:rFonts w:ascii="Calibri" w:hAnsi="Calibri" w:cs="Calibri"/>
          <w:b/>
          <w:bCs/>
          <w:w w:val="95"/>
          <w:sz w:val="24"/>
          <w:szCs w:val="24"/>
        </w:rPr>
        <w:t>Dimensione delle imprese per classe valore della produzione</w:t>
      </w:r>
    </w:p>
    <w:p w14:paraId="2B36EA8B" w14:textId="77777777" w:rsidR="008E35C3" w:rsidRPr="00BF7272" w:rsidRDefault="0015103E" w:rsidP="00BF7272">
      <w:pPr>
        <w:spacing w:line="276" w:lineRule="auto"/>
        <w:ind w:left="284"/>
        <w:rPr>
          <w:iCs/>
          <w:szCs w:val="24"/>
        </w:rPr>
      </w:pPr>
      <w:r w:rsidRPr="00AF296B">
        <w:rPr>
          <w:noProof/>
        </w:rPr>
        <w:drawing>
          <wp:inline distT="0" distB="0" distL="0" distR="0" wp14:anchorId="289926D8" wp14:editId="1673F633">
            <wp:extent cx="5287645" cy="3585845"/>
            <wp:effectExtent l="0" t="0" r="0" b="0"/>
            <wp:docPr id="4" name="Immagine 40" descr="Immagine che contiene testo, schermata, viola, Policromia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0" descr="Immagine che contiene testo, schermata, viola, Policromia&#10;&#10;Il contenuto generato dall'IA potrebbe non essere corretto.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358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35C3" w:rsidRPr="00BF7272" w:rsidSect="0014309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559" w:bottom="1134" w:left="1559" w:header="720" w:footer="61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FB84A" w14:textId="77777777" w:rsidR="00C569CB" w:rsidRDefault="00C569CB">
      <w:r>
        <w:separator/>
      </w:r>
    </w:p>
  </w:endnote>
  <w:endnote w:type="continuationSeparator" w:id="0">
    <w:p w14:paraId="05DCE73E" w14:textId="77777777" w:rsidR="00C569CB" w:rsidRDefault="00C5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yriadPro-It">
    <w:altName w:val="Calibri"/>
    <w:charset w:val="00"/>
    <w:family w:val="swiss"/>
    <w:notTrueType/>
    <w:pitch w:val="default"/>
    <w:sig w:usb0="00000003" w:usb1="00000000" w:usb2="00000000" w:usb3="00000000" w:csb0="00000001" w:csb1="00000000"/>
  </w:font>
  <w:font w:name="Tempus Sans ITC">
    <w:panose1 w:val="040204040300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edra Sans Std Demi">
    <w:altName w:val="Cambria"/>
    <w:charset w:val="00"/>
    <w:family w:val="swiss"/>
    <w:notTrueType/>
    <w:pitch w:val="variable"/>
    <w:sig w:usb0="20000007" w:usb1="00000003" w:usb2="00000000" w:usb3="00000000" w:csb0="00000193" w:csb1="00000000"/>
  </w:font>
  <w:font w:name="Fedra Sans Std Light">
    <w:altName w:val="Arial"/>
    <w:charset w:val="00"/>
    <w:family w:val="swiss"/>
    <w:notTrueType/>
    <w:pitch w:val="variable"/>
    <w:sig w:usb0="20000007" w:usb1="00000003" w:usb2="00000000" w:usb3="00000000" w:csb0="0000019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BE294" w14:textId="77777777" w:rsidR="0092320B" w:rsidRDefault="0092320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="-72" w:tblpY="9499"/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78"/>
      <w:gridCol w:w="4678"/>
    </w:tblGrid>
    <w:tr w:rsidR="0014309F" w:rsidRPr="002814E2" w14:paraId="54439862" w14:textId="77777777" w:rsidTr="0014309F">
      <w:trPr>
        <w:trHeight w:val="464"/>
      </w:trPr>
      <w:tc>
        <w:tcPr>
          <w:tcW w:w="4678" w:type="dxa"/>
          <w:vAlign w:val="center"/>
        </w:tcPr>
        <w:p w14:paraId="21B78445" w14:textId="77777777" w:rsidR="0014309F" w:rsidRPr="001763C7" w:rsidRDefault="0014309F" w:rsidP="0014309F">
          <w:pPr>
            <w:pStyle w:val="Pidipagina"/>
            <w:tabs>
              <w:tab w:val="clear" w:pos="9638"/>
            </w:tabs>
            <w:jc w:val="left"/>
            <w:rPr>
              <w:rFonts w:ascii="Fedra Sans Std Light" w:hAnsi="Fedra Sans Std Light"/>
              <w:b/>
              <w:color w:val="071D49"/>
              <w:sz w:val="20"/>
            </w:rPr>
          </w:pPr>
          <w:r w:rsidRPr="001763C7">
            <w:rPr>
              <w:rFonts w:ascii="Fedra Sans Std Light" w:hAnsi="Fedra Sans Std Light"/>
              <w:b/>
              <w:color w:val="071D49"/>
              <w:sz w:val="20"/>
            </w:rPr>
            <w:t>Per ulteriori informazioni:</w:t>
          </w:r>
        </w:p>
        <w:p w14:paraId="185A17A5" w14:textId="77777777" w:rsidR="0014309F" w:rsidRPr="002814E2" w:rsidRDefault="006F6293" w:rsidP="0014309F">
          <w:pPr>
            <w:pStyle w:val="Pidipagina"/>
            <w:jc w:val="left"/>
            <w:rPr>
              <w:rFonts w:ascii="Calibri" w:hAnsi="Calibri" w:cs="Calibri"/>
              <w:szCs w:val="24"/>
            </w:rPr>
          </w:pPr>
          <w:r>
            <w:rPr>
              <w:rFonts w:ascii="Fedra Sans Std Light" w:hAnsi="Fedra Sans Std Light"/>
              <w:color w:val="071D49"/>
              <w:sz w:val="20"/>
            </w:rPr>
            <w:t>06.4704 264</w:t>
          </w:r>
          <w:r w:rsidR="0014309F" w:rsidRPr="001763C7">
            <w:rPr>
              <w:rFonts w:ascii="Fedra Sans Std Light" w:hAnsi="Fedra Sans Std Light"/>
              <w:color w:val="071D49"/>
              <w:sz w:val="20"/>
            </w:rPr>
            <w:t xml:space="preserve"> / 348.9025607</w:t>
          </w:r>
        </w:p>
      </w:tc>
      <w:tc>
        <w:tcPr>
          <w:tcW w:w="4678" w:type="dxa"/>
          <w:vAlign w:val="center"/>
        </w:tcPr>
        <w:p w14:paraId="5349E0D8" w14:textId="77777777" w:rsidR="0014309F" w:rsidRPr="002814E2" w:rsidRDefault="0015103E" w:rsidP="001763C7">
          <w:pPr>
            <w:jc w:val="right"/>
            <w:rPr>
              <w:rFonts w:ascii="Calibri" w:hAnsi="Calibri" w:cs="Calibri"/>
            </w:rPr>
          </w:pPr>
          <w:hyperlink r:id="rId1" w:history="1">
            <w:r w:rsidRPr="002814E2">
              <w:rPr>
                <w:rFonts w:ascii="Calibri" w:hAnsi="Calibri" w:cs="Calibri"/>
                <w:b/>
                <w:noProof/>
              </w:rPr>
              <w:drawing>
                <wp:inline distT="0" distB="0" distL="0" distR="0" wp14:anchorId="17E0F503" wp14:editId="2C243C66">
                  <wp:extent cx="215265" cy="215265"/>
                  <wp:effectExtent l="0" t="0" r="0" b="0"/>
                  <wp:docPr id="5" name="Immagin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5"/>
                          <pic:cNvPicPr>
                            <a:picLocks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" cy="215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hyperlink>
          <w:r w:rsidR="0014309F" w:rsidRPr="002814E2">
            <w:rPr>
              <w:rFonts w:ascii="Calibri" w:hAnsi="Calibri" w:cs="Calibri"/>
              <w:b/>
            </w:rPr>
            <w:t xml:space="preserve"> </w:t>
          </w:r>
          <w:hyperlink r:id="rId3" w:history="1">
            <w:r w:rsidRPr="002814E2">
              <w:rPr>
                <w:rFonts w:ascii="Calibri" w:hAnsi="Calibri" w:cs="Calibri"/>
                <w:b/>
                <w:noProof/>
              </w:rPr>
              <w:drawing>
                <wp:inline distT="0" distB="0" distL="0" distR="0" wp14:anchorId="052DD366" wp14:editId="4A13A853">
                  <wp:extent cx="222250" cy="222250"/>
                  <wp:effectExtent l="0" t="0" r="0" b="0"/>
                  <wp:docPr id="6" name="Immagin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6"/>
                          <pic:cNvPicPr>
                            <a:picLocks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5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hyperlink>
          <w:r w:rsidR="0014309F" w:rsidRPr="002814E2">
            <w:rPr>
              <w:rFonts w:ascii="Calibri" w:hAnsi="Calibri" w:cs="Calibri"/>
              <w:b/>
            </w:rPr>
            <w:t xml:space="preserve"> </w:t>
          </w:r>
          <w:hyperlink r:id="rId5" w:history="1">
            <w:r w:rsidR="008F0EF2">
              <w:rPr>
                <w:noProof/>
              </w:rPr>
            </w:r>
            <w:r w:rsidR="008F0EF2">
              <w:rPr>
                <w:noProof/>
              </w:rPr>
              <w:pict w14:anchorId="33CE793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alt="logo-facebook-piccolo-andalo" style="width:17.65pt;height:17.65pt">
                  <v:imagedata r:id="rId6" r:href="rId7"/>
                </v:shape>
              </w:pict>
            </w:r>
          </w:hyperlink>
          <w:r w:rsidR="0054308D">
            <w:t xml:space="preserve"> </w:t>
          </w:r>
          <w:hyperlink r:id="rId8" w:history="1">
            <w:r>
              <w:rPr>
                <w:noProof/>
              </w:rPr>
              <w:drawing>
                <wp:inline distT="0" distB="0" distL="0" distR="0" wp14:anchorId="1C7DBA50" wp14:editId="1E614038">
                  <wp:extent cx="220345" cy="220345"/>
                  <wp:effectExtent l="0" t="0" r="0" b="0"/>
                  <wp:docPr id="8" name="Immagin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8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45" cy="22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hyperlink>
          <w:r w:rsidR="00C36FDC">
            <w:t xml:space="preserve"> </w:t>
          </w:r>
          <w:hyperlink r:id="rId10" w:history="1">
            <w:r w:rsidRPr="002814E2">
              <w:rPr>
                <w:rFonts w:ascii="Calibri" w:hAnsi="Calibri" w:cs="Calibri"/>
                <w:noProof/>
              </w:rPr>
              <w:drawing>
                <wp:inline distT="0" distB="0" distL="0" distR="0" wp14:anchorId="13E95DD1" wp14:editId="7AC0DA9D">
                  <wp:extent cx="424815" cy="227965"/>
                  <wp:effectExtent l="0" t="0" r="0" b="0"/>
                  <wp:docPr id="9" name="Immagin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9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hyperlink>
          <w:r w:rsidR="0014309F" w:rsidRPr="002814E2">
            <w:rPr>
              <w:rFonts w:ascii="Calibri" w:hAnsi="Calibri" w:cs="Calibri"/>
            </w:rPr>
            <w:t xml:space="preserve">  </w:t>
          </w:r>
          <w:r w:rsidR="0014309F" w:rsidRPr="002814E2">
            <w:rPr>
              <w:rFonts w:ascii="Calibri" w:hAnsi="Calibri" w:cs="Calibri"/>
              <w:b/>
            </w:rPr>
            <w:t xml:space="preserve"> </w:t>
          </w:r>
        </w:p>
      </w:tc>
    </w:tr>
  </w:tbl>
  <w:p w14:paraId="4039C03E" w14:textId="77777777" w:rsidR="0014309F" w:rsidRDefault="0014309F">
    <w:pPr>
      <w:pStyle w:val="Pidipagina"/>
    </w:pPr>
  </w:p>
  <w:p w14:paraId="0290DFCC" w14:textId="77777777" w:rsidR="00DA098B" w:rsidRDefault="00DA098B" w:rsidP="00F7784A">
    <w:pPr>
      <w:pStyle w:val="Pidipagina"/>
      <w:jc w:val="cen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EF466" w14:textId="77777777" w:rsidR="0092320B" w:rsidRDefault="0092320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4B78D" w14:textId="77777777" w:rsidR="00C569CB" w:rsidRDefault="00C569CB">
      <w:r>
        <w:separator/>
      </w:r>
    </w:p>
  </w:footnote>
  <w:footnote w:type="continuationSeparator" w:id="0">
    <w:p w14:paraId="66379F41" w14:textId="77777777" w:rsidR="00C569CB" w:rsidRDefault="00C569CB">
      <w:r>
        <w:continuationSeparator/>
      </w:r>
    </w:p>
  </w:footnote>
  <w:footnote w:id="1">
    <w:p w14:paraId="538FA202" w14:textId="77777777" w:rsidR="00DD7465" w:rsidRPr="0010118C" w:rsidRDefault="00DD7465" w:rsidP="00DD7465">
      <w:pPr>
        <w:rPr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855F0F">
        <w:rPr>
          <w:sz w:val="18"/>
          <w:szCs w:val="18"/>
        </w:rPr>
        <w:t>Ai sensi dell’art.</w:t>
      </w:r>
      <w:r>
        <w:rPr>
          <w:sz w:val="18"/>
          <w:szCs w:val="18"/>
        </w:rPr>
        <w:t xml:space="preserve"> </w:t>
      </w:r>
      <w:r w:rsidRPr="00855F0F">
        <w:rPr>
          <w:sz w:val="18"/>
          <w:szCs w:val="18"/>
        </w:rPr>
        <w:t>17, comma 7, CCII infatti, l’incarico dell’esperto si considera concluso se, decorsi 180 giorni dall’accettazione della nomina, le parti non hanno individuato una soluzione volta a perseguire il risanamento dell’impresa, ferma la possibilità di proroga per ulteriori 180 giorni nei casi tassativamente previsti dalla norma richiamata.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1E176" w14:textId="77777777" w:rsidR="0092320B" w:rsidRDefault="0092320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829DB" w14:textId="77777777" w:rsidR="0014309F" w:rsidRDefault="0014309F">
    <w:pPr>
      <w:pStyle w:val="Intestazione"/>
    </w:pPr>
  </w:p>
  <w:p w14:paraId="3EAA8037" w14:textId="77777777" w:rsidR="004367BB" w:rsidRDefault="004367B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C4791" w14:textId="77777777" w:rsidR="0092320B" w:rsidRDefault="0092320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50pt;height:50pt" o:bullet="t">
        <v:imagedata r:id="rId1" o:title="ico_uc_email"/>
      </v:shape>
    </w:pict>
  </w:numPicBullet>
  <w:abstractNum w:abstractNumId="0" w15:restartNumberingAfterBreak="0">
    <w:nsid w:val="186E6B88"/>
    <w:multiLevelType w:val="hybridMultilevel"/>
    <w:tmpl w:val="DF56AA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819BC"/>
    <w:multiLevelType w:val="hybridMultilevel"/>
    <w:tmpl w:val="F5660504"/>
    <w:lvl w:ilvl="0" w:tplc="7EBC7138">
      <w:start w:val="5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01B30"/>
    <w:multiLevelType w:val="hybridMultilevel"/>
    <w:tmpl w:val="54522A5C"/>
    <w:lvl w:ilvl="0" w:tplc="0410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3B881B7C"/>
    <w:multiLevelType w:val="hybridMultilevel"/>
    <w:tmpl w:val="4D2E4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572EDC"/>
    <w:multiLevelType w:val="hybridMultilevel"/>
    <w:tmpl w:val="F48A155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BA4F2F"/>
    <w:multiLevelType w:val="singleLevel"/>
    <w:tmpl w:val="851CE2B8"/>
    <w:lvl w:ilvl="0">
      <w:start w:val="1"/>
      <w:numFmt w:val="bullet"/>
      <w:pStyle w:val="Rientrolettere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75516FD1"/>
    <w:multiLevelType w:val="multilevel"/>
    <w:tmpl w:val="B91E3F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S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2036039110">
    <w:abstractNumId w:val="6"/>
  </w:num>
  <w:num w:numId="2" w16cid:durableId="1523547607">
    <w:abstractNumId w:val="5"/>
  </w:num>
  <w:num w:numId="3" w16cid:durableId="1710255482">
    <w:abstractNumId w:val="1"/>
  </w:num>
  <w:num w:numId="4" w16cid:durableId="1124227954">
    <w:abstractNumId w:val="2"/>
  </w:num>
  <w:num w:numId="5" w16cid:durableId="1885022937">
    <w:abstractNumId w:val="0"/>
  </w:num>
  <w:num w:numId="6" w16cid:durableId="265508041">
    <w:abstractNumId w:val="3"/>
  </w:num>
  <w:num w:numId="7" w16cid:durableId="160676292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8"/>
  <w:revisionView w:inkAnnotations="0"/>
  <w:documentProtection w:edit="readOnly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82D"/>
    <w:rsid w:val="00014811"/>
    <w:rsid w:val="00025383"/>
    <w:rsid w:val="00027F2E"/>
    <w:rsid w:val="00043006"/>
    <w:rsid w:val="000533F9"/>
    <w:rsid w:val="00054023"/>
    <w:rsid w:val="00065EAB"/>
    <w:rsid w:val="000732A6"/>
    <w:rsid w:val="00081250"/>
    <w:rsid w:val="000A0D17"/>
    <w:rsid w:val="000A5C7E"/>
    <w:rsid w:val="000A71E9"/>
    <w:rsid w:val="000B2D19"/>
    <w:rsid w:val="000B6C06"/>
    <w:rsid w:val="000C1ABB"/>
    <w:rsid w:val="000C48B9"/>
    <w:rsid w:val="000C4DF0"/>
    <w:rsid w:val="000C7F11"/>
    <w:rsid w:val="000E48CB"/>
    <w:rsid w:val="000E5BF7"/>
    <w:rsid w:val="000E669F"/>
    <w:rsid w:val="000E6FE3"/>
    <w:rsid w:val="00114CC3"/>
    <w:rsid w:val="0014309F"/>
    <w:rsid w:val="0015103E"/>
    <w:rsid w:val="001618EB"/>
    <w:rsid w:val="00162BBF"/>
    <w:rsid w:val="00172A83"/>
    <w:rsid w:val="001763C7"/>
    <w:rsid w:val="00183DE7"/>
    <w:rsid w:val="001873E2"/>
    <w:rsid w:val="0019103C"/>
    <w:rsid w:val="0019162E"/>
    <w:rsid w:val="001956FC"/>
    <w:rsid w:val="001B14D1"/>
    <w:rsid w:val="001B76D7"/>
    <w:rsid w:val="001F4790"/>
    <w:rsid w:val="001F4B6B"/>
    <w:rsid w:val="001F781D"/>
    <w:rsid w:val="002203EB"/>
    <w:rsid w:val="002260C5"/>
    <w:rsid w:val="00226B11"/>
    <w:rsid w:val="00232088"/>
    <w:rsid w:val="002355BF"/>
    <w:rsid w:val="002518CC"/>
    <w:rsid w:val="00272EC1"/>
    <w:rsid w:val="002814E2"/>
    <w:rsid w:val="00283941"/>
    <w:rsid w:val="00283E30"/>
    <w:rsid w:val="0029046A"/>
    <w:rsid w:val="002934B8"/>
    <w:rsid w:val="002A0881"/>
    <w:rsid w:val="002B1971"/>
    <w:rsid w:val="002B506B"/>
    <w:rsid w:val="002C2807"/>
    <w:rsid w:val="002C4F7D"/>
    <w:rsid w:val="002D4712"/>
    <w:rsid w:val="002D5384"/>
    <w:rsid w:val="002F41B8"/>
    <w:rsid w:val="002F56D6"/>
    <w:rsid w:val="003105A7"/>
    <w:rsid w:val="003156F3"/>
    <w:rsid w:val="00341B94"/>
    <w:rsid w:val="003635B2"/>
    <w:rsid w:val="00383763"/>
    <w:rsid w:val="003864F8"/>
    <w:rsid w:val="00391D84"/>
    <w:rsid w:val="00394624"/>
    <w:rsid w:val="00397FA8"/>
    <w:rsid w:val="003A3477"/>
    <w:rsid w:val="003B5391"/>
    <w:rsid w:val="003C24D9"/>
    <w:rsid w:val="003D0D0F"/>
    <w:rsid w:val="003D0F8B"/>
    <w:rsid w:val="003E7B9B"/>
    <w:rsid w:val="003F170F"/>
    <w:rsid w:val="003F3C66"/>
    <w:rsid w:val="004038E8"/>
    <w:rsid w:val="004139EB"/>
    <w:rsid w:val="00416B25"/>
    <w:rsid w:val="00421946"/>
    <w:rsid w:val="00422F2B"/>
    <w:rsid w:val="00425AFA"/>
    <w:rsid w:val="00425D86"/>
    <w:rsid w:val="0043471E"/>
    <w:rsid w:val="0043569A"/>
    <w:rsid w:val="004367BB"/>
    <w:rsid w:val="0045607C"/>
    <w:rsid w:val="004570FB"/>
    <w:rsid w:val="00465476"/>
    <w:rsid w:val="00484181"/>
    <w:rsid w:val="00485DBE"/>
    <w:rsid w:val="00486A92"/>
    <w:rsid w:val="00494885"/>
    <w:rsid w:val="004B1EB8"/>
    <w:rsid w:val="004D4A3D"/>
    <w:rsid w:val="004F0CB6"/>
    <w:rsid w:val="00511BAA"/>
    <w:rsid w:val="00516183"/>
    <w:rsid w:val="00517DCD"/>
    <w:rsid w:val="005266AF"/>
    <w:rsid w:val="00526B59"/>
    <w:rsid w:val="00536DC4"/>
    <w:rsid w:val="005419C1"/>
    <w:rsid w:val="0054308D"/>
    <w:rsid w:val="0055469A"/>
    <w:rsid w:val="00554A1D"/>
    <w:rsid w:val="00577C2E"/>
    <w:rsid w:val="005830A3"/>
    <w:rsid w:val="00592124"/>
    <w:rsid w:val="00597E82"/>
    <w:rsid w:val="005A3766"/>
    <w:rsid w:val="005A51C5"/>
    <w:rsid w:val="005B5C91"/>
    <w:rsid w:val="005C224F"/>
    <w:rsid w:val="005C30B9"/>
    <w:rsid w:val="005C543E"/>
    <w:rsid w:val="005D7E24"/>
    <w:rsid w:val="005E5CF9"/>
    <w:rsid w:val="005E6593"/>
    <w:rsid w:val="005F1522"/>
    <w:rsid w:val="005F6A2C"/>
    <w:rsid w:val="006050A4"/>
    <w:rsid w:val="006126AD"/>
    <w:rsid w:val="006364D9"/>
    <w:rsid w:val="00651E35"/>
    <w:rsid w:val="00653CDB"/>
    <w:rsid w:val="006544F7"/>
    <w:rsid w:val="00681D11"/>
    <w:rsid w:val="006A7D9D"/>
    <w:rsid w:val="006B5152"/>
    <w:rsid w:val="006B5594"/>
    <w:rsid w:val="006C3D08"/>
    <w:rsid w:val="006C5714"/>
    <w:rsid w:val="006D1DDB"/>
    <w:rsid w:val="006D3554"/>
    <w:rsid w:val="006D546F"/>
    <w:rsid w:val="006F6293"/>
    <w:rsid w:val="00703D43"/>
    <w:rsid w:val="0070505A"/>
    <w:rsid w:val="007210BC"/>
    <w:rsid w:val="007239CA"/>
    <w:rsid w:val="00730050"/>
    <w:rsid w:val="0073171F"/>
    <w:rsid w:val="007445AB"/>
    <w:rsid w:val="00750547"/>
    <w:rsid w:val="00771F68"/>
    <w:rsid w:val="0077449F"/>
    <w:rsid w:val="00793F08"/>
    <w:rsid w:val="007A43BB"/>
    <w:rsid w:val="007B065C"/>
    <w:rsid w:val="007B3772"/>
    <w:rsid w:val="007C0665"/>
    <w:rsid w:val="007C6476"/>
    <w:rsid w:val="007D0A16"/>
    <w:rsid w:val="007E6007"/>
    <w:rsid w:val="007E601C"/>
    <w:rsid w:val="007E640A"/>
    <w:rsid w:val="007E7CB9"/>
    <w:rsid w:val="007E7FFB"/>
    <w:rsid w:val="007F06C9"/>
    <w:rsid w:val="007F382B"/>
    <w:rsid w:val="007F5B39"/>
    <w:rsid w:val="00807E98"/>
    <w:rsid w:val="00816DDA"/>
    <w:rsid w:val="00823440"/>
    <w:rsid w:val="00833067"/>
    <w:rsid w:val="0084095D"/>
    <w:rsid w:val="008436D8"/>
    <w:rsid w:val="0084493B"/>
    <w:rsid w:val="00850EF3"/>
    <w:rsid w:val="00864FFA"/>
    <w:rsid w:val="008676E1"/>
    <w:rsid w:val="008C1E78"/>
    <w:rsid w:val="008C5430"/>
    <w:rsid w:val="008C7BA4"/>
    <w:rsid w:val="008D14B5"/>
    <w:rsid w:val="008D29BF"/>
    <w:rsid w:val="008E0361"/>
    <w:rsid w:val="008E1F3B"/>
    <w:rsid w:val="008E35C3"/>
    <w:rsid w:val="008E7325"/>
    <w:rsid w:val="008E75C6"/>
    <w:rsid w:val="008F0EF2"/>
    <w:rsid w:val="008F7DCC"/>
    <w:rsid w:val="00902C95"/>
    <w:rsid w:val="009034FD"/>
    <w:rsid w:val="00905575"/>
    <w:rsid w:val="00910DD4"/>
    <w:rsid w:val="009128B5"/>
    <w:rsid w:val="009164CB"/>
    <w:rsid w:val="0092320B"/>
    <w:rsid w:val="009342AA"/>
    <w:rsid w:val="0094203B"/>
    <w:rsid w:val="00942459"/>
    <w:rsid w:val="00945D5A"/>
    <w:rsid w:val="009472C4"/>
    <w:rsid w:val="00954C75"/>
    <w:rsid w:val="00967C1B"/>
    <w:rsid w:val="00967D4D"/>
    <w:rsid w:val="00975D64"/>
    <w:rsid w:val="009768EC"/>
    <w:rsid w:val="009770E9"/>
    <w:rsid w:val="0097786A"/>
    <w:rsid w:val="009863C4"/>
    <w:rsid w:val="00991118"/>
    <w:rsid w:val="009A2AD5"/>
    <w:rsid w:val="009B3A11"/>
    <w:rsid w:val="009C0B47"/>
    <w:rsid w:val="009C3C0E"/>
    <w:rsid w:val="009D001D"/>
    <w:rsid w:val="009D0E76"/>
    <w:rsid w:val="009D62EB"/>
    <w:rsid w:val="009F794A"/>
    <w:rsid w:val="00A11480"/>
    <w:rsid w:val="00A16FF8"/>
    <w:rsid w:val="00A21315"/>
    <w:rsid w:val="00A350BB"/>
    <w:rsid w:val="00A406A1"/>
    <w:rsid w:val="00A51521"/>
    <w:rsid w:val="00A64E0B"/>
    <w:rsid w:val="00A66435"/>
    <w:rsid w:val="00A71EE9"/>
    <w:rsid w:val="00A85898"/>
    <w:rsid w:val="00A87C97"/>
    <w:rsid w:val="00AA5FD9"/>
    <w:rsid w:val="00AB1911"/>
    <w:rsid w:val="00AB336D"/>
    <w:rsid w:val="00AB6CE6"/>
    <w:rsid w:val="00AC5294"/>
    <w:rsid w:val="00AD2AC9"/>
    <w:rsid w:val="00AD6F4D"/>
    <w:rsid w:val="00AD7F0A"/>
    <w:rsid w:val="00AE260C"/>
    <w:rsid w:val="00B10D21"/>
    <w:rsid w:val="00B120B7"/>
    <w:rsid w:val="00B228D6"/>
    <w:rsid w:val="00B3407C"/>
    <w:rsid w:val="00B46BD3"/>
    <w:rsid w:val="00B6044A"/>
    <w:rsid w:val="00B639D0"/>
    <w:rsid w:val="00B66DED"/>
    <w:rsid w:val="00B70E8C"/>
    <w:rsid w:val="00B8428E"/>
    <w:rsid w:val="00B844F4"/>
    <w:rsid w:val="00B873D9"/>
    <w:rsid w:val="00B95C96"/>
    <w:rsid w:val="00BC5936"/>
    <w:rsid w:val="00BD4765"/>
    <w:rsid w:val="00BE024F"/>
    <w:rsid w:val="00BE0681"/>
    <w:rsid w:val="00BE20C2"/>
    <w:rsid w:val="00BE21E6"/>
    <w:rsid w:val="00BE7ED1"/>
    <w:rsid w:val="00BF5990"/>
    <w:rsid w:val="00BF7272"/>
    <w:rsid w:val="00C048F1"/>
    <w:rsid w:val="00C136A7"/>
    <w:rsid w:val="00C32D17"/>
    <w:rsid w:val="00C34F36"/>
    <w:rsid w:val="00C36FDC"/>
    <w:rsid w:val="00C37616"/>
    <w:rsid w:val="00C444CF"/>
    <w:rsid w:val="00C47764"/>
    <w:rsid w:val="00C569CB"/>
    <w:rsid w:val="00C67F9C"/>
    <w:rsid w:val="00C76689"/>
    <w:rsid w:val="00C83C71"/>
    <w:rsid w:val="00C83CA0"/>
    <w:rsid w:val="00C83FFB"/>
    <w:rsid w:val="00CA2910"/>
    <w:rsid w:val="00CA570B"/>
    <w:rsid w:val="00CA59DE"/>
    <w:rsid w:val="00CA7779"/>
    <w:rsid w:val="00CC45BE"/>
    <w:rsid w:val="00CC578F"/>
    <w:rsid w:val="00CD132D"/>
    <w:rsid w:val="00CD2E08"/>
    <w:rsid w:val="00CE32FB"/>
    <w:rsid w:val="00D03B66"/>
    <w:rsid w:val="00D11684"/>
    <w:rsid w:val="00D21833"/>
    <w:rsid w:val="00D2375D"/>
    <w:rsid w:val="00D26B55"/>
    <w:rsid w:val="00D27F04"/>
    <w:rsid w:val="00D60235"/>
    <w:rsid w:val="00D64781"/>
    <w:rsid w:val="00D70193"/>
    <w:rsid w:val="00D7350E"/>
    <w:rsid w:val="00D75BEB"/>
    <w:rsid w:val="00D91F2A"/>
    <w:rsid w:val="00D9214E"/>
    <w:rsid w:val="00D92FA2"/>
    <w:rsid w:val="00DA098B"/>
    <w:rsid w:val="00DA3569"/>
    <w:rsid w:val="00DB0659"/>
    <w:rsid w:val="00DC1583"/>
    <w:rsid w:val="00DC65F8"/>
    <w:rsid w:val="00DD24FE"/>
    <w:rsid w:val="00DD7465"/>
    <w:rsid w:val="00DE7CFB"/>
    <w:rsid w:val="00E02C6F"/>
    <w:rsid w:val="00E130C4"/>
    <w:rsid w:val="00E17B1C"/>
    <w:rsid w:val="00E2381C"/>
    <w:rsid w:val="00E40976"/>
    <w:rsid w:val="00E441ED"/>
    <w:rsid w:val="00E525B5"/>
    <w:rsid w:val="00E53F20"/>
    <w:rsid w:val="00E549A6"/>
    <w:rsid w:val="00E61160"/>
    <w:rsid w:val="00E62944"/>
    <w:rsid w:val="00E73EF8"/>
    <w:rsid w:val="00E86B83"/>
    <w:rsid w:val="00E9066A"/>
    <w:rsid w:val="00E963C0"/>
    <w:rsid w:val="00EB297A"/>
    <w:rsid w:val="00EB36A7"/>
    <w:rsid w:val="00EB4D0B"/>
    <w:rsid w:val="00EC4239"/>
    <w:rsid w:val="00ED2398"/>
    <w:rsid w:val="00ED2DBB"/>
    <w:rsid w:val="00ED5DD2"/>
    <w:rsid w:val="00ED6CAB"/>
    <w:rsid w:val="00EE1AA1"/>
    <w:rsid w:val="00EE582D"/>
    <w:rsid w:val="00EF14C2"/>
    <w:rsid w:val="00F00216"/>
    <w:rsid w:val="00F073C7"/>
    <w:rsid w:val="00F07A5F"/>
    <w:rsid w:val="00F12432"/>
    <w:rsid w:val="00F14483"/>
    <w:rsid w:val="00F1472D"/>
    <w:rsid w:val="00F20B56"/>
    <w:rsid w:val="00F31AB6"/>
    <w:rsid w:val="00F54689"/>
    <w:rsid w:val="00F64E76"/>
    <w:rsid w:val="00F71EE8"/>
    <w:rsid w:val="00F76CF7"/>
    <w:rsid w:val="00F7784A"/>
    <w:rsid w:val="00F83A05"/>
    <w:rsid w:val="00F851D5"/>
    <w:rsid w:val="00F93456"/>
    <w:rsid w:val="00F94231"/>
    <w:rsid w:val="00FA4ABC"/>
    <w:rsid w:val="00FA5300"/>
    <w:rsid w:val="00FA6385"/>
    <w:rsid w:val="00FA69C6"/>
    <w:rsid w:val="00FB10E8"/>
    <w:rsid w:val="00FB44F5"/>
    <w:rsid w:val="00FB5F61"/>
    <w:rsid w:val="00FC7B3D"/>
    <w:rsid w:val="00FD4410"/>
    <w:rsid w:val="00FE16B5"/>
    <w:rsid w:val="00FF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  <w14:docId w14:val="04B510DB"/>
  <w15:chartTrackingRefBased/>
  <w15:docId w15:val="{B87EF738-AEE6-0A4F-A44C-B5B519CC3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C45BE"/>
    <w:pPr>
      <w:jc w:val="both"/>
    </w:pPr>
    <w:rPr>
      <w:sz w:val="24"/>
    </w:rPr>
  </w:style>
  <w:style w:type="paragraph" w:styleId="Titolo1">
    <w:name w:val="heading 1"/>
    <w:aliases w:val="Titolo capitolo"/>
    <w:basedOn w:val="Normale"/>
    <w:next w:val="Normale"/>
    <w:qFormat/>
    <w:pPr>
      <w:keepNext/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2"/>
    </w:rPr>
  </w:style>
  <w:style w:type="paragraph" w:styleId="Titolo4">
    <w:name w:val="heading 4"/>
    <w:basedOn w:val="Normale"/>
    <w:next w:val="Normale"/>
    <w:link w:val="Titolo4Carattere"/>
    <w:qFormat/>
    <w:pPr>
      <w:keepNext/>
      <w:outlineLvl w:val="3"/>
    </w:pPr>
    <w:rPr>
      <w:rFonts w:ascii="Verdana" w:hAnsi="Verdana"/>
      <w:b/>
      <w:sz w:val="20"/>
    </w:rPr>
  </w:style>
  <w:style w:type="paragraph" w:styleId="Titolo5">
    <w:name w:val="heading 5"/>
    <w:basedOn w:val="Normale"/>
    <w:next w:val="Normale"/>
    <w:link w:val="Titolo5Carattere"/>
    <w:qFormat/>
    <w:pPr>
      <w:keepNext/>
      <w:jc w:val="center"/>
      <w:outlineLvl w:val="4"/>
    </w:pPr>
    <w:rPr>
      <w:sz w:val="28"/>
    </w:rPr>
  </w:style>
  <w:style w:type="paragraph" w:styleId="Titolo6">
    <w:name w:val="heading 6"/>
    <w:basedOn w:val="Normale"/>
    <w:next w:val="Normale"/>
    <w:link w:val="Titolo6Carattere"/>
    <w:qFormat/>
    <w:pPr>
      <w:keepNext/>
      <w:jc w:val="left"/>
      <w:outlineLvl w:val="5"/>
    </w:pPr>
    <w:rPr>
      <w:rFonts w:ascii="Arial" w:hAnsi="Arial"/>
      <w:b/>
      <w:snapToGrid w:val="0"/>
      <w:color w:val="000000"/>
      <w:sz w:val="18"/>
    </w:rPr>
  </w:style>
  <w:style w:type="paragraph" w:styleId="Titolo7">
    <w:name w:val="heading 7"/>
    <w:basedOn w:val="Normale"/>
    <w:next w:val="Normale"/>
    <w:qFormat/>
    <w:pPr>
      <w:keepNext/>
      <w:outlineLvl w:val="6"/>
    </w:pPr>
    <w:rPr>
      <w:rFonts w:ascii="Arial" w:hAnsi="Arial"/>
      <w:b/>
      <w:sz w:val="18"/>
    </w:rPr>
  </w:style>
  <w:style w:type="paragraph" w:styleId="Titolo8">
    <w:name w:val="heading 8"/>
    <w:basedOn w:val="Normale"/>
    <w:next w:val="Normale"/>
    <w:qFormat/>
    <w:pPr>
      <w:keepNext/>
      <w:ind w:right="-1"/>
      <w:jc w:val="center"/>
      <w:outlineLvl w:val="7"/>
    </w:pPr>
    <w:rPr>
      <w:rFonts w:ascii="MyriadPro-It" w:hAnsi="MyriadPro-It"/>
      <w:snapToGrid w:val="0"/>
      <w:sz w:val="36"/>
    </w:rPr>
  </w:style>
  <w:style w:type="paragraph" w:styleId="Titolo9">
    <w:name w:val="heading 9"/>
    <w:basedOn w:val="Normale"/>
    <w:next w:val="Normale"/>
    <w:qFormat/>
    <w:pPr>
      <w:keepNext/>
      <w:ind w:right="-1"/>
      <w:jc w:val="center"/>
      <w:outlineLvl w:val="8"/>
    </w:pPr>
    <w:rPr>
      <w:rFonts w:ascii="Arial" w:hAnsi="Arial"/>
      <w:b/>
      <w:snapToGrid w:val="0"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link w:val="Titolo4"/>
    <w:rsid w:val="00B844F4"/>
    <w:rPr>
      <w:rFonts w:ascii="Verdana" w:hAnsi="Verdana"/>
      <w:b/>
    </w:rPr>
  </w:style>
  <w:style w:type="character" w:customStyle="1" w:styleId="Titolo5Carattere">
    <w:name w:val="Titolo 5 Carattere"/>
    <w:link w:val="Titolo5"/>
    <w:rsid w:val="00B844F4"/>
    <w:rPr>
      <w:sz w:val="28"/>
    </w:rPr>
  </w:style>
  <w:style w:type="character" w:customStyle="1" w:styleId="Titolo6Carattere">
    <w:name w:val="Titolo 6 Carattere"/>
    <w:link w:val="Titolo6"/>
    <w:rsid w:val="00B844F4"/>
    <w:rPr>
      <w:rFonts w:ascii="Arial" w:hAnsi="Arial"/>
      <w:b/>
      <w:snapToGrid w:val="0"/>
      <w:color w:val="000000"/>
      <w:sz w:val="18"/>
    </w:rPr>
  </w:style>
  <w:style w:type="paragraph" w:styleId="Corpotesto">
    <w:name w:val="Body Text"/>
    <w:aliases w:val="Text,bt,BODY TEXT,body text,t,Block text,heading_txt,bodytxy2,Para,EHPT,Body Text2,bt1,bodytext,BT,txt1,T1,Title 1,EDStext,sp,bullet title,sbs,block text,Resume Text,bt4,body text4,bt5,body text5,body text1,tx,text,Justified,pp,RFP Text"/>
    <w:basedOn w:val="Normale"/>
    <w:link w:val="CorpotestoCarattere"/>
    <w:semiHidden/>
    <w:rPr>
      <w:sz w:val="28"/>
    </w:rPr>
  </w:style>
  <w:style w:type="paragraph" w:styleId="Corpodeltesto2">
    <w:name w:val="Body Text 2"/>
    <w:basedOn w:val="Normale"/>
    <w:semiHidden/>
    <w:rPr>
      <w:sz w:val="26"/>
    </w:rPr>
  </w:style>
  <w:style w:type="paragraph" w:styleId="Titolo">
    <w:name w:val="Title"/>
    <w:basedOn w:val="Normale"/>
    <w:qFormat/>
    <w:pPr>
      <w:jc w:val="center"/>
    </w:pPr>
    <w:rPr>
      <w:i/>
      <w:sz w:val="26"/>
    </w:rPr>
  </w:style>
  <w:style w:type="paragraph" w:styleId="Sottotitolo">
    <w:name w:val="Subtitle"/>
    <w:basedOn w:val="Normale"/>
    <w:qFormat/>
    <w:pPr>
      <w:jc w:val="center"/>
    </w:pPr>
    <w:rPr>
      <w:b/>
      <w:sz w:val="32"/>
    </w:rPr>
  </w:style>
  <w:style w:type="character" w:styleId="Collegamentoipertestuale">
    <w:name w:val="Hyperlink"/>
    <w:uiPriority w:val="99"/>
    <w:semiHidden/>
    <w:rPr>
      <w:color w:val="0000FF"/>
      <w:u w:val="single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semiHidden/>
    <w:rPr>
      <w:i/>
    </w:rPr>
  </w:style>
  <w:style w:type="paragraph" w:customStyle="1" w:styleId="S2">
    <w:name w:val="S2"/>
    <w:basedOn w:val="Normale"/>
    <w:autoRedefine/>
    <w:pPr>
      <w:numPr>
        <w:ilvl w:val="1"/>
        <w:numId w:val="1"/>
      </w:numPr>
      <w:jc w:val="left"/>
      <w:outlineLvl w:val="0"/>
    </w:pPr>
    <w:rPr>
      <w:rFonts w:ascii="Tempus Sans ITC" w:hAnsi="Tempus Sans ITC"/>
      <w:b/>
      <w:sz w:val="26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"/>
    <w:basedOn w:val="Normale"/>
    <w:link w:val="TestonotaapidipaginaCarattere"/>
    <w:uiPriority w:val="99"/>
    <w:pPr>
      <w:jc w:val="left"/>
    </w:pPr>
    <w:rPr>
      <w:sz w:val="20"/>
    </w:rPr>
  </w:style>
  <w:style w:type="character" w:styleId="Rimandonotaapidipagina">
    <w:name w:val="footnote reference"/>
    <w:uiPriority w:val="99"/>
    <w:semiHidden/>
    <w:rPr>
      <w:vertAlign w:val="superscript"/>
    </w:rPr>
  </w:style>
  <w:style w:type="paragraph" w:styleId="Testodelblocco">
    <w:name w:val="Block Text"/>
    <w:basedOn w:val="Normale"/>
    <w:semiHidden/>
    <w:pPr>
      <w:ind w:left="-284" w:right="-285"/>
      <w:jc w:val="center"/>
    </w:pPr>
    <w:rPr>
      <w:rFonts w:ascii="Verdana" w:hAnsi="Verdana"/>
      <w:b/>
      <w:sz w:val="32"/>
    </w:rPr>
  </w:style>
  <w:style w:type="paragraph" w:customStyle="1" w:styleId="Tabella">
    <w:name w:val="Tabella"/>
    <w:basedOn w:val="Titolo2"/>
    <w:pPr>
      <w:spacing w:before="120" w:after="60"/>
    </w:pPr>
    <w:rPr>
      <w:b w:val="0"/>
      <w:i/>
    </w:rPr>
  </w:style>
  <w:style w:type="paragraph" w:customStyle="1" w:styleId="xl41">
    <w:name w:val="xl41"/>
    <w:basedOn w:val="Normale"/>
    <w:pPr>
      <w:spacing w:before="100" w:after="100"/>
    </w:pPr>
    <w:rPr>
      <w:rFonts w:eastAsia="Arial Unicode MS"/>
    </w:rPr>
  </w:style>
  <w:style w:type="paragraph" w:styleId="Didascalia">
    <w:name w:val="caption"/>
    <w:basedOn w:val="Normale"/>
    <w:next w:val="Normale"/>
    <w:qFormat/>
    <w:pPr>
      <w:spacing w:after="240"/>
    </w:pPr>
    <w:rPr>
      <w:i/>
      <w:sz w:val="20"/>
    </w:rPr>
  </w:style>
  <w:style w:type="paragraph" w:customStyle="1" w:styleId="Fonte">
    <w:name w:val="Fonte"/>
    <w:basedOn w:val="Didascalia"/>
    <w:pPr>
      <w:spacing w:after="0"/>
    </w:pPr>
    <w:rPr>
      <w:i w:val="0"/>
      <w:sz w:val="18"/>
    </w:rPr>
  </w:style>
  <w:style w:type="paragraph" w:customStyle="1" w:styleId="Stile1">
    <w:name w:val="Stile1"/>
    <w:basedOn w:val="Normale"/>
    <w:pPr>
      <w:spacing w:after="240"/>
    </w:pPr>
    <w:rPr>
      <w:rFonts w:ascii="Courier New" w:hAnsi="Courier New"/>
      <w:sz w:val="20"/>
    </w:rPr>
  </w:style>
  <w:style w:type="paragraph" w:styleId="Sommario4">
    <w:name w:val="toc 4"/>
    <w:basedOn w:val="Normale"/>
    <w:next w:val="Normale"/>
    <w:autoRedefine/>
    <w:semiHidden/>
    <w:pPr>
      <w:spacing w:after="240"/>
      <w:ind w:left="720"/>
    </w:pPr>
  </w:style>
  <w:style w:type="paragraph" w:styleId="Sommario6">
    <w:name w:val="toc 6"/>
    <w:basedOn w:val="Normale"/>
    <w:next w:val="Normale"/>
    <w:autoRedefine/>
    <w:semiHidden/>
    <w:pPr>
      <w:spacing w:after="240"/>
      <w:ind w:left="1200"/>
    </w:pPr>
  </w:style>
  <w:style w:type="paragraph" w:styleId="Sommario3">
    <w:name w:val="toc 3"/>
    <w:basedOn w:val="Normale"/>
    <w:next w:val="Normale"/>
    <w:autoRedefine/>
    <w:semiHidden/>
    <w:pPr>
      <w:spacing w:after="240"/>
      <w:ind w:left="480"/>
    </w:pPr>
  </w:style>
  <w:style w:type="paragraph" w:customStyle="1" w:styleId="StileStileStileTitolo114pt12pt">
    <w:name w:val="Stile Stile Stile Titolo 1 + + 14 pt + 12 pt"/>
    <w:basedOn w:val="Normale"/>
    <w:autoRedefine/>
    <w:rsid w:val="00B844F4"/>
    <w:pPr>
      <w:keepNext/>
      <w:spacing w:line="360" w:lineRule="auto"/>
      <w:ind w:firstLine="708"/>
      <w:outlineLvl w:val="0"/>
    </w:pPr>
    <w:rPr>
      <w:rFonts w:ascii="Tahoma" w:hAnsi="Tahoma"/>
      <w:sz w:val="28"/>
      <w:szCs w:val="24"/>
    </w:rPr>
  </w:style>
  <w:style w:type="character" w:customStyle="1" w:styleId="RientrocorpodeltestoCarattere">
    <w:name w:val="Rientro corpo del testo Carattere"/>
    <w:link w:val="Rientrocorpodeltesto"/>
    <w:semiHidden/>
    <w:rsid w:val="00B844F4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semiHidden/>
    <w:rsid w:val="00B844F4"/>
    <w:pPr>
      <w:ind w:left="708"/>
    </w:pPr>
    <w:rPr>
      <w:szCs w:val="24"/>
    </w:rPr>
  </w:style>
  <w:style w:type="character" w:customStyle="1" w:styleId="Rientrocorpodeltesto2Carattere">
    <w:name w:val="Rientro corpo del testo 2 Carattere"/>
    <w:link w:val="Rientrocorpodeltesto2"/>
    <w:semiHidden/>
    <w:rsid w:val="00B844F4"/>
    <w:rPr>
      <w:rFonts w:ascii="Tahoma" w:hAnsi="Tahoma"/>
      <w:b/>
      <w:sz w:val="32"/>
      <w:szCs w:val="24"/>
    </w:rPr>
  </w:style>
  <w:style w:type="paragraph" w:styleId="Rientrocorpodeltesto2">
    <w:name w:val="Body Text Indent 2"/>
    <w:basedOn w:val="Normale"/>
    <w:link w:val="Rientrocorpodeltesto2Carattere"/>
    <w:semiHidden/>
    <w:rsid w:val="00B844F4"/>
    <w:pPr>
      <w:widowControl w:val="0"/>
      <w:spacing w:line="360" w:lineRule="auto"/>
      <w:ind w:left="-840"/>
      <w:jc w:val="left"/>
    </w:pPr>
    <w:rPr>
      <w:rFonts w:ascii="Tahoma" w:hAnsi="Tahoma"/>
      <w:b/>
      <w:sz w:val="32"/>
      <w:szCs w:val="24"/>
    </w:rPr>
  </w:style>
  <w:style w:type="character" w:customStyle="1" w:styleId="Rientrocorpodeltesto3Carattere">
    <w:name w:val="Rientro corpo del testo 3 Carattere"/>
    <w:link w:val="Rientrocorpodeltesto3"/>
    <w:semiHidden/>
    <w:rsid w:val="00B844F4"/>
    <w:rPr>
      <w:rFonts w:ascii="Tahoma" w:hAnsi="Tahoma"/>
      <w:sz w:val="28"/>
      <w:szCs w:val="24"/>
    </w:rPr>
  </w:style>
  <w:style w:type="paragraph" w:styleId="Rientrocorpodeltesto3">
    <w:name w:val="Body Text Indent 3"/>
    <w:basedOn w:val="Normale"/>
    <w:link w:val="Rientrocorpodeltesto3Carattere"/>
    <w:semiHidden/>
    <w:rsid w:val="00B844F4"/>
    <w:pPr>
      <w:ind w:left="708"/>
      <w:jc w:val="left"/>
    </w:pPr>
    <w:rPr>
      <w:rFonts w:ascii="Tahoma" w:hAnsi="Tahoma"/>
      <w:sz w:val="28"/>
      <w:szCs w:val="24"/>
    </w:rPr>
  </w:style>
  <w:style w:type="paragraph" w:customStyle="1" w:styleId="Rientrolettere">
    <w:name w:val="Rientro lettere"/>
    <w:basedOn w:val="Normale"/>
    <w:rsid w:val="00B844F4"/>
    <w:pPr>
      <w:numPr>
        <w:numId w:val="2"/>
      </w:numPr>
      <w:jc w:val="left"/>
    </w:pPr>
    <w:rPr>
      <w:sz w:val="20"/>
      <w:szCs w:val="24"/>
    </w:rPr>
  </w:style>
  <w:style w:type="paragraph" w:styleId="Paragrafoelenco">
    <w:name w:val="List Paragraph"/>
    <w:basedOn w:val="Normale"/>
    <w:qFormat/>
    <w:rsid w:val="00B844F4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4"/>
    </w:rPr>
  </w:style>
  <w:style w:type="character" w:customStyle="1" w:styleId="TestofumettoCarattere">
    <w:name w:val="Testo fumetto Carattere"/>
    <w:link w:val="Testofumetto"/>
    <w:uiPriority w:val="99"/>
    <w:semiHidden/>
    <w:rsid w:val="00B844F4"/>
    <w:rPr>
      <w:rFonts w:ascii="Tahoma" w:hAnsi="Tahoma"/>
      <w:sz w:val="16"/>
      <w:szCs w:val="16"/>
      <w:lang w:val="x-none" w:eastAsia="x-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44F4"/>
    <w:pPr>
      <w:jc w:val="left"/>
    </w:pPr>
    <w:rPr>
      <w:rFonts w:ascii="Tahoma" w:hAnsi="Tahoma"/>
      <w:sz w:val="16"/>
      <w:szCs w:val="16"/>
      <w:lang w:val="x-none" w:eastAsia="x-none"/>
    </w:rPr>
  </w:style>
  <w:style w:type="character" w:customStyle="1" w:styleId="style132">
    <w:name w:val="style132"/>
    <w:rsid w:val="00B844F4"/>
  </w:style>
  <w:style w:type="paragraph" w:styleId="NormaleWeb">
    <w:name w:val="Normal (Web)"/>
    <w:basedOn w:val="Normale"/>
    <w:uiPriority w:val="99"/>
    <w:semiHidden/>
    <w:unhideWhenUsed/>
    <w:rsid w:val="00B844F4"/>
    <w:pPr>
      <w:spacing w:before="100" w:beforeAutospacing="1" w:after="100" w:afterAutospacing="1"/>
      <w:jc w:val="left"/>
    </w:pPr>
    <w:rPr>
      <w:szCs w:val="24"/>
    </w:rPr>
  </w:style>
  <w:style w:type="character" w:styleId="Enfasigrassetto">
    <w:name w:val="Strong"/>
    <w:uiPriority w:val="22"/>
    <w:qFormat/>
    <w:rsid w:val="00B844F4"/>
    <w:rPr>
      <w:b/>
      <w:bCs/>
    </w:rPr>
  </w:style>
  <w:style w:type="table" w:styleId="Grigliatabella">
    <w:name w:val="Table Grid"/>
    <w:basedOn w:val="Tabellanormale"/>
    <w:uiPriority w:val="59"/>
    <w:rsid w:val="008E7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"/>
    <w:link w:val="Testonotaapidipagina"/>
    <w:uiPriority w:val="99"/>
    <w:rsid w:val="00991118"/>
  </w:style>
  <w:style w:type="character" w:customStyle="1" w:styleId="tabitem">
    <w:name w:val="tab item"/>
    <w:rsid w:val="00991118"/>
    <w:rPr>
      <w:rFonts w:ascii="Courier New" w:hAnsi="Courier New" w:cs="Courier New"/>
    </w:rPr>
  </w:style>
  <w:style w:type="paragraph" w:customStyle="1" w:styleId="IsnartTabitem">
    <w:name w:val="Isnart Tab item"/>
    <w:basedOn w:val="Normale"/>
    <w:rsid w:val="00991118"/>
    <w:pPr>
      <w:spacing w:before="60" w:after="60"/>
      <w:jc w:val="left"/>
    </w:pPr>
    <w:rPr>
      <w:rFonts w:ascii="Arial Narrow" w:hAnsi="Arial Narrow"/>
      <w:color w:val="000000"/>
    </w:rPr>
  </w:style>
  <w:style w:type="character" w:customStyle="1" w:styleId="IntestazioneCarattere">
    <w:name w:val="Intestazione Carattere"/>
    <w:link w:val="Intestazione"/>
    <w:uiPriority w:val="99"/>
    <w:rsid w:val="0014309F"/>
    <w:rPr>
      <w:sz w:val="24"/>
    </w:rPr>
  </w:style>
  <w:style w:type="character" w:customStyle="1" w:styleId="PidipaginaCarattere">
    <w:name w:val="Piè di pagina Carattere"/>
    <w:link w:val="Pidipagina"/>
    <w:uiPriority w:val="99"/>
    <w:rsid w:val="0014309F"/>
    <w:rPr>
      <w:sz w:val="24"/>
    </w:rPr>
  </w:style>
  <w:style w:type="character" w:customStyle="1" w:styleId="CorpotestoCarattere">
    <w:name w:val="Corpo testo Carattere"/>
    <w:aliases w:val="Text Carattere,bt Carattere,BODY TEXT Carattere,body text Carattere,t Carattere,Block text Carattere,heading_txt Carattere,bodytxy2 Carattere,Para Carattere,EHPT Carattere,Body Text2 Carattere,bt1 Carattere,bodytext Carattere"/>
    <w:link w:val="Corpotesto"/>
    <w:semiHidden/>
    <w:rsid w:val="00DD7465"/>
    <w:rPr>
      <w:sz w:val="28"/>
    </w:rPr>
  </w:style>
  <w:style w:type="table" w:customStyle="1" w:styleId="Tabellaelenco4-colore21">
    <w:name w:val="Tabella elenco 4 - colore 21"/>
    <w:basedOn w:val="Tabellanormale"/>
    <w:next w:val="Tabellaelenco4-colore2"/>
    <w:uiPriority w:val="49"/>
    <w:rsid w:val="007D0A1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styleId="Tabellaelenco4-colore2">
    <w:name w:val="List Table 4 Accent 2"/>
    <w:basedOn w:val="Tabellanormale"/>
    <w:uiPriority w:val="49"/>
    <w:rsid w:val="007D0A16"/>
    <w:tblPr>
      <w:tblStyleRowBandSize w:val="1"/>
      <w:tblStyleColBandSize w:val="1"/>
      <w:tblBorders>
        <w:top w:val="single" w:sz="4" w:space="0" w:color="F1A983"/>
        <w:left w:val="single" w:sz="4" w:space="0" w:color="F1A983"/>
        <w:bottom w:val="single" w:sz="4" w:space="0" w:color="F1A983"/>
        <w:right w:val="single" w:sz="4" w:space="0" w:color="F1A983"/>
        <w:insideH w:val="single" w:sz="4" w:space="0" w:color="F1A9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97132"/>
          <w:left w:val="single" w:sz="4" w:space="0" w:color="E97132"/>
          <w:bottom w:val="single" w:sz="4" w:space="0" w:color="E97132"/>
          <w:right w:val="single" w:sz="4" w:space="0" w:color="E97132"/>
          <w:insideH w:val="nil"/>
        </w:tcBorders>
        <w:shd w:val="clear" w:color="auto" w:fill="E97132"/>
      </w:tcPr>
    </w:tblStylePr>
    <w:tblStylePr w:type="lastRow">
      <w:rPr>
        <w:b/>
        <w:bCs/>
      </w:rPr>
      <w:tblPr/>
      <w:tcPr>
        <w:tcBorders>
          <w:top w:val="double" w:sz="4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/>
      </w:tcPr>
    </w:tblStylePr>
    <w:tblStylePr w:type="band1Horz">
      <w:tblPr/>
      <w:tcPr>
        <w:shd w:val="clear" w:color="auto" w:fill="FAE2D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803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03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7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7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98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49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1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66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45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35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76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11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1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7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0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53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01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8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36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75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18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63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69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5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34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81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18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37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6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30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0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7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78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header" Target="header1.xml" /><Relationship Id="rId18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image" Target="media/image6.png" /><Relationship Id="rId17" Type="http://schemas.openxmlformats.org/officeDocument/2006/relationships/header" Target="header3.xml" /><Relationship Id="rId2" Type="http://schemas.openxmlformats.org/officeDocument/2006/relationships/numbering" Target="numbering.xml" /><Relationship Id="rId16" Type="http://schemas.openxmlformats.org/officeDocument/2006/relationships/footer" Target="footer2.xml" /><Relationship Id="rId20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5.wmf" /><Relationship Id="rId5" Type="http://schemas.openxmlformats.org/officeDocument/2006/relationships/webSettings" Target="webSettings.xml" /><Relationship Id="rId15" Type="http://schemas.openxmlformats.org/officeDocument/2006/relationships/footer" Target="footer1.xml" /><Relationship Id="rId10" Type="http://schemas.openxmlformats.org/officeDocument/2006/relationships/image" Target="media/image4.wmf" /><Relationship Id="rId19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image" Target="media/image3.wmf" /><Relationship Id="rId14" Type="http://schemas.openxmlformats.org/officeDocument/2006/relationships/header" Target="header2.xml" 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unioncamere" TargetMode="External" /><Relationship Id="rId3" Type="http://schemas.openxmlformats.org/officeDocument/2006/relationships/hyperlink" Target="mailto:ufficio.stampa@unioncamere.it" TargetMode="External" /><Relationship Id="rId7" Type="http://schemas.openxmlformats.org/officeDocument/2006/relationships/image" Target="http://www.agriperrone.it/wp-content/uploads/2014/02/logo-facebook-piccolo-andalo.png" TargetMode="External" /><Relationship Id="rId2" Type="http://schemas.openxmlformats.org/officeDocument/2006/relationships/image" Target="media/image7.jpeg" /><Relationship Id="rId1" Type="http://schemas.openxmlformats.org/officeDocument/2006/relationships/hyperlink" Target="http://www.unioncamere.gov.it" TargetMode="External" /><Relationship Id="rId6" Type="http://schemas.openxmlformats.org/officeDocument/2006/relationships/image" Target="media/image9.png" /><Relationship Id="rId11" Type="http://schemas.openxmlformats.org/officeDocument/2006/relationships/image" Target="media/image11.png" /><Relationship Id="rId5" Type="http://schemas.openxmlformats.org/officeDocument/2006/relationships/hyperlink" Target="http://www.facebook.com/Unioncamere" TargetMode="External" /><Relationship Id="rId10" Type="http://schemas.openxmlformats.org/officeDocument/2006/relationships/hyperlink" Target="http://www.youtube.com/user/pressroomunioncamere?feature=results_main" TargetMode="External" /><Relationship Id="rId4" Type="http://schemas.openxmlformats.org/officeDocument/2006/relationships/image" Target="media/image8.jpeg" /><Relationship Id="rId9" Type="http://schemas.openxmlformats.org/officeDocument/2006/relationships/image" Target="media/image10.jpeg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492FE-E0A0-422D-8A4E-1E60E216718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809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comunicato stampa</vt:lpstr>
    </vt:vector>
  </TitlesOfParts>
  <Company>Unioncamere</Company>
  <LinksUpToDate>false</LinksUpToDate>
  <CharactersWithSpaces>5396</CharactersWithSpaces>
  <SharedDoc>false</SharedDoc>
  <HLinks>
    <vt:vector size="30" baseType="variant">
      <vt:variant>
        <vt:i4>262244</vt:i4>
      </vt:variant>
      <vt:variant>
        <vt:i4>15</vt:i4>
      </vt:variant>
      <vt:variant>
        <vt:i4>0</vt:i4>
      </vt:variant>
      <vt:variant>
        <vt:i4>5</vt:i4>
      </vt:variant>
      <vt:variant>
        <vt:lpwstr>http://www.youtube.com/user/pressroomunioncamere?feature=results_main</vt:lpwstr>
      </vt:variant>
      <vt:variant>
        <vt:lpwstr/>
      </vt:variant>
      <vt:variant>
        <vt:i4>6553635</vt:i4>
      </vt:variant>
      <vt:variant>
        <vt:i4>12</vt:i4>
      </vt:variant>
      <vt:variant>
        <vt:i4>0</vt:i4>
      </vt:variant>
      <vt:variant>
        <vt:i4>5</vt:i4>
      </vt:variant>
      <vt:variant>
        <vt:lpwstr>https://twitter.com/unioncamere</vt:lpwstr>
      </vt:variant>
      <vt:variant>
        <vt:lpwstr/>
      </vt:variant>
      <vt:variant>
        <vt:i4>3145768</vt:i4>
      </vt:variant>
      <vt:variant>
        <vt:i4>6</vt:i4>
      </vt:variant>
      <vt:variant>
        <vt:i4>0</vt:i4>
      </vt:variant>
      <vt:variant>
        <vt:i4>5</vt:i4>
      </vt:variant>
      <vt:variant>
        <vt:lpwstr>http://www.facebook.com/Unioncamere</vt:lpwstr>
      </vt:variant>
      <vt:variant>
        <vt:lpwstr/>
      </vt:variant>
      <vt:variant>
        <vt:i4>7864320</vt:i4>
      </vt:variant>
      <vt:variant>
        <vt:i4>3</vt:i4>
      </vt:variant>
      <vt:variant>
        <vt:i4>0</vt:i4>
      </vt:variant>
      <vt:variant>
        <vt:i4>5</vt:i4>
      </vt:variant>
      <vt:variant>
        <vt:lpwstr>mailto:ufficio.stampa@unioncamere.it</vt:lpwstr>
      </vt:variant>
      <vt:variant>
        <vt:lpwstr/>
      </vt:variant>
      <vt:variant>
        <vt:i4>7274550</vt:i4>
      </vt:variant>
      <vt:variant>
        <vt:i4>0</vt:i4>
      </vt:variant>
      <vt:variant>
        <vt:i4>0</vt:i4>
      </vt:variant>
      <vt:variant>
        <vt:i4>5</vt:i4>
      </vt:variant>
      <vt:variant>
        <vt:lpwstr>http://www.unioncamere.gov.it/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comunicato stampa</dc:title>
  <dc:subject/>
  <dc:creator>Ufficio Stampa</dc:creator>
  <cp:keywords/>
  <cp:lastModifiedBy>Alessandra Altina</cp:lastModifiedBy>
  <cp:revision>2</cp:revision>
  <cp:lastPrinted>2025-05-28T08:17:00Z</cp:lastPrinted>
  <dcterms:created xsi:type="dcterms:W3CDTF">2025-11-13T09:53:00Z</dcterms:created>
  <dcterms:modified xsi:type="dcterms:W3CDTF">2025-11-13T09:53:00Z</dcterms:modified>
</cp:coreProperties>
</file>