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7CA9" w14:textId="77777777" w:rsidR="00785C8D" w:rsidRPr="00A06E20" w:rsidRDefault="00213423" w:rsidP="0094186A">
      <w:pPr>
        <w:jc w:val="left"/>
        <w:rPr>
          <w:rFonts w:ascii="Cambria" w:hAnsi="Cambria" w:cs="Calibri"/>
          <w:b/>
          <w:noProof/>
          <w:color w:val="071D49"/>
          <w:spacing w:val="-20"/>
          <w:kern w:val="144"/>
          <w:sz w:val="36"/>
          <w:szCs w:val="36"/>
        </w:rPr>
      </w:pPr>
      <w:r w:rsidRPr="00A06E20">
        <w:rPr>
          <w:rFonts w:ascii="Cambria" w:hAnsi="Cambria"/>
          <w:noProof/>
        </w:rPr>
        <w:drawing>
          <wp:anchor distT="0" distB="0" distL="114300" distR="114300" simplePos="0" relativeHeight="251657728" behindDoc="0" locked="0" layoutInCell="1" allowOverlap="1" wp14:anchorId="2412D52B" wp14:editId="0188AB91">
            <wp:simplePos x="0" y="0"/>
            <wp:positionH relativeFrom="column">
              <wp:posOffset>4705985</wp:posOffset>
            </wp:positionH>
            <wp:positionV relativeFrom="paragraph">
              <wp:posOffset>-72390</wp:posOffset>
            </wp:positionV>
            <wp:extent cx="942975" cy="361950"/>
            <wp:effectExtent l="19050" t="0" r="9525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6E20">
        <w:rPr>
          <w:rFonts w:ascii="Cambria" w:hAnsi="Cambria"/>
          <w:i/>
          <w:noProof/>
          <w:sz w:val="18"/>
        </w:rPr>
        <w:drawing>
          <wp:inline distT="0" distB="0" distL="0" distR="0" wp14:anchorId="732A7E17" wp14:editId="40341CD6">
            <wp:extent cx="1714500" cy="3619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1411" w14:textId="77777777" w:rsidR="00785C8D" w:rsidRPr="00A06E20" w:rsidRDefault="00785C8D" w:rsidP="00785C8D">
      <w:pPr>
        <w:jc w:val="left"/>
        <w:rPr>
          <w:rFonts w:ascii="Cambria" w:hAnsi="Cambria" w:cs="Calibri"/>
          <w:b/>
          <w:noProof/>
          <w:color w:val="071D49"/>
          <w:spacing w:val="-20"/>
          <w:kern w:val="144"/>
          <w:sz w:val="36"/>
          <w:szCs w:val="36"/>
        </w:rPr>
      </w:pPr>
    </w:p>
    <w:p w14:paraId="0F93C49E" w14:textId="77777777" w:rsidR="006050A4" w:rsidRPr="007D6ABF" w:rsidRDefault="00785C8D" w:rsidP="007D6ABF">
      <w:pPr>
        <w:jc w:val="center"/>
        <w:rPr>
          <w:rFonts w:asciiTheme="minorHAnsi" w:hAnsiTheme="minorHAnsi" w:cstheme="minorHAnsi"/>
          <w:color w:val="071D49"/>
          <w:sz w:val="32"/>
          <w:szCs w:val="32"/>
        </w:rPr>
      </w:pPr>
      <w:r w:rsidRPr="007D6ABF">
        <w:rPr>
          <w:rFonts w:asciiTheme="minorHAnsi" w:hAnsiTheme="minorHAnsi" w:cstheme="minorHAnsi"/>
          <w:noProof/>
          <w:color w:val="071D49"/>
          <w:spacing w:val="-20"/>
          <w:kern w:val="144"/>
          <w:sz w:val="32"/>
          <w:szCs w:val="32"/>
        </w:rPr>
        <w:t>Comunicato stampa</w:t>
      </w:r>
    </w:p>
    <w:p w14:paraId="32EA9F5E" w14:textId="77777777" w:rsidR="00997D99" w:rsidRPr="006F36E1" w:rsidRDefault="00997D99" w:rsidP="00AE614F">
      <w:pPr>
        <w:spacing w:after="120"/>
        <w:rPr>
          <w:rFonts w:ascii="Cambria" w:hAnsi="Cambria" w:cs="Arial"/>
          <w:b/>
          <w:sz w:val="36"/>
          <w:szCs w:val="36"/>
        </w:rPr>
      </w:pPr>
    </w:p>
    <w:p w14:paraId="755F4C84" w14:textId="77777777" w:rsidR="006E526F" w:rsidRDefault="00923966" w:rsidP="006E526F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  <w:bookmarkStart w:id="0" w:name="_Hlk117605659"/>
      <w:bookmarkStart w:id="1" w:name="_Hlk128217566"/>
      <w:bookmarkStart w:id="2" w:name="_Hlk130895796"/>
      <w:bookmarkStart w:id="3" w:name="_Hlk147132295"/>
      <w:bookmarkStart w:id="4" w:name="_Hlk160008660"/>
      <w:r w:rsidRPr="005640F3">
        <w:rPr>
          <w:b/>
          <w:bCs/>
          <w:color w:val="auto"/>
          <w:sz w:val="28"/>
          <w:szCs w:val="28"/>
        </w:rPr>
        <w:t>Agroalimentare</w:t>
      </w:r>
      <w:r w:rsidR="005640F3" w:rsidRPr="005640F3">
        <w:rPr>
          <w:b/>
          <w:bCs/>
          <w:color w:val="auto"/>
          <w:sz w:val="28"/>
          <w:szCs w:val="28"/>
        </w:rPr>
        <w:t xml:space="preserve">, </w:t>
      </w:r>
      <w:r w:rsidR="006E526F" w:rsidRPr="006E526F">
        <w:rPr>
          <w:b/>
          <w:bCs/>
          <w:color w:val="auto"/>
          <w:sz w:val="28"/>
          <w:szCs w:val="28"/>
        </w:rPr>
        <w:t>a settembre aumenti per ortaggi, carni bovine e uova</w:t>
      </w:r>
    </w:p>
    <w:p w14:paraId="1B4B60AD" w14:textId="1D98436C" w:rsidR="005640F3" w:rsidRPr="00AB28DD" w:rsidRDefault="005640F3" w:rsidP="006E526F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bookmarkEnd w:id="0"/>
    <w:bookmarkEnd w:id="1"/>
    <w:bookmarkEnd w:id="2"/>
    <w:bookmarkEnd w:id="3"/>
    <w:p w14:paraId="051C41ED" w14:textId="0A169EDB" w:rsidR="00923966" w:rsidRDefault="00AB28DD" w:rsidP="00923966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Roma, </w:t>
      </w:r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>30</w:t>
      </w:r>
      <w:r w:rsid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ottobre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202</w:t>
      </w:r>
      <w:r w:rsidR="00923966">
        <w:rPr>
          <w:rFonts w:ascii="Calibri" w:eastAsia="Calibri" w:hAnsi="Calibri" w:cs="Calibri"/>
          <w:bCs/>
          <w:sz w:val="22"/>
          <w:szCs w:val="22"/>
          <w:lang w:eastAsia="en-US"/>
        </w:rPr>
        <w:t>5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</w:t>
      </w:r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>P</w:t>
      </w:r>
      <w:r w:rsidR="00F746A1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rezzi all’ingrosso </w:t>
      </w:r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>in aumento per gli</w:t>
      </w:r>
      <w:r w:rsidR="00F746A1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ortaggi, le carni di bovino</w:t>
      </w:r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="00F746A1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di tacchino e per le uova. </w:t>
      </w:r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In calo quelli dell’uva da tavola, della carne di suino e del burro. </w:t>
      </w:r>
      <w:proofErr w:type="gramStart"/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>E’</w:t>
      </w:r>
      <w:proofErr w:type="gramEnd"/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quanto emerge nell’ultimo </w:t>
      </w:r>
      <w:r w:rsidRPr="00923966">
        <w:rPr>
          <w:rFonts w:ascii="Calibri" w:eastAsia="Calibri" w:hAnsi="Calibri" w:cs="Calibri"/>
          <w:b/>
          <w:sz w:val="22"/>
          <w:szCs w:val="22"/>
          <w:lang w:eastAsia="en-US"/>
        </w:rPr>
        <w:t>indice dei prezzi all’ingrosso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E03BB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di settembre,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elaborato da </w:t>
      </w:r>
      <w:r w:rsidRPr="0063223A">
        <w:rPr>
          <w:rFonts w:ascii="Calibri" w:eastAsia="Calibri" w:hAnsi="Calibri" w:cs="Calibri"/>
          <w:b/>
          <w:sz w:val="22"/>
          <w:szCs w:val="22"/>
          <w:lang w:eastAsia="en-US"/>
        </w:rPr>
        <w:t>Unioncamere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</w:t>
      </w:r>
      <w:r w:rsidRPr="0063223A">
        <w:rPr>
          <w:rFonts w:ascii="Calibri" w:eastAsia="Calibri" w:hAnsi="Calibri" w:cs="Calibri"/>
          <w:b/>
          <w:sz w:val="22"/>
          <w:szCs w:val="22"/>
          <w:lang w:eastAsia="en-US"/>
        </w:rPr>
        <w:t>BMTI</w:t>
      </w:r>
      <w:bookmarkEnd w:id="4"/>
      <w:r w:rsidR="00F746A1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="00923966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5D0DD9B6" w14:textId="32642276" w:rsidR="00923966" w:rsidRDefault="00923966" w:rsidP="00923966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All’interno del comparto </w:t>
      </w:r>
      <w:r w:rsidR="006E52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degli ortaggi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si segnalano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in </w:t>
      </w:r>
      <w:proofErr w:type="gramStart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particolare,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rialzi</w:t>
      </w:r>
      <w:proofErr w:type="gramEnd"/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per le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923966">
        <w:rPr>
          <w:rFonts w:ascii="Calibri" w:eastAsia="Calibri" w:hAnsi="Calibri" w:cs="Calibri"/>
          <w:b/>
          <w:sz w:val="22"/>
          <w:szCs w:val="22"/>
          <w:lang w:eastAsia="en-US"/>
        </w:rPr>
        <w:t>zucchine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(+50,7% su base mensile)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e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le </w:t>
      </w:r>
      <w:r w:rsidRPr="00923966">
        <w:rPr>
          <w:rFonts w:ascii="Calibri" w:eastAsia="Calibri" w:hAnsi="Calibri" w:cs="Calibri"/>
          <w:b/>
          <w:sz w:val="22"/>
          <w:szCs w:val="22"/>
          <w:lang w:eastAsia="en-US"/>
        </w:rPr>
        <w:t>melanzane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(+9% in un mese)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, sostenuti da minori disponibilità dovute alle condizioni climatiche e alla conclusione delle produzioni in pieno campo.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6E526F">
        <w:rPr>
          <w:rFonts w:ascii="Calibri" w:eastAsia="Calibri" w:hAnsi="Calibri" w:cs="Calibri"/>
          <w:bCs/>
          <w:sz w:val="22"/>
          <w:szCs w:val="22"/>
          <w:lang w:eastAsia="en-US"/>
        </w:rPr>
        <w:t>Tuttavia, n</w:t>
      </w:r>
      <w:r w:rsidR="006E526F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onostante la crescita registrata a settembre, i prezzi </w:t>
      </w:r>
      <w:r w:rsidR="006E52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all’ingrosso </w:t>
      </w:r>
      <w:r w:rsidR="006E526F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degli ortaggi risultano comunque inferiori </w:t>
      </w:r>
      <w:r w:rsidR="006E52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del 15% circa </w:t>
      </w:r>
      <w:r w:rsidR="006E526F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rispetto ai livelli dello scorso anno.</w:t>
      </w:r>
      <w:r w:rsidR="006E52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Ribassi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invece,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per il comparto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dei frutti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 lunga conservazione (-4,1%), con un mercato debole per l’</w:t>
      </w:r>
      <w:r w:rsidRPr="00B8390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uva da tavola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(-13,8%), caratterizzato da abbondante produzione di qualità non sempre elevata e da domanda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contenuta. In controtendenza le </w:t>
      </w:r>
      <w:r w:rsidRPr="00B83906">
        <w:rPr>
          <w:rFonts w:ascii="Calibri" w:eastAsia="Calibri" w:hAnsi="Calibri" w:cs="Calibri"/>
          <w:b/>
          <w:sz w:val="22"/>
          <w:szCs w:val="22"/>
          <w:lang w:eastAsia="en-US"/>
        </w:rPr>
        <w:t>pere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(+9%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) per le quali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si prospetta 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nuovamente un’annata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scarsamente produttiva e i prezzi delle varietà autunnali risultano già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>su livelli elevati.</w:t>
      </w:r>
    </w:p>
    <w:p w14:paraId="276E7660" w14:textId="6E5E8776" w:rsidR="00B83906" w:rsidRDefault="006E526F" w:rsidP="00923966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Nel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comparto delle carni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sono proseguiti 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 rialzi per la carne di </w:t>
      </w:r>
      <w:r w:rsidRPr="00B83906">
        <w:rPr>
          <w:rFonts w:ascii="Calibri" w:eastAsia="Calibri" w:hAnsi="Calibri" w:cs="Calibri"/>
          <w:b/>
          <w:sz w:val="22"/>
          <w:szCs w:val="22"/>
          <w:lang w:eastAsia="en-US"/>
        </w:rPr>
        <w:t>vitellone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(+5% mensile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</w:t>
      </w:r>
      <w:r w:rsidRPr="00B83906">
        <w:rPr>
          <w:rFonts w:ascii="Calibri" w:eastAsia="Calibri" w:hAnsi="Calibri" w:cs="Calibri"/>
          <w:sz w:val="22"/>
          <w:szCs w:val="22"/>
          <w:lang w:eastAsia="en-US"/>
        </w:rPr>
        <w:t>+37,4%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rispetto al </w:t>
      </w:r>
      <w:proofErr w:type="gramStart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2024 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proofErr w:type="gramEnd"/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</w:t>
      </w:r>
      <w:r w:rsidRPr="00B83906">
        <w:rPr>
          <w:rFonts w:ascii="Calibri" w:eastAsia="Calibri" w:hAnsi="Calibri" w:cs="Calibri"/>
          <w:b/>
          <w:sz w:val="22"/>
          <w:szCs w:val="22"/>
          <w:lang w:eastAsia="en-US"/>
        </w:rPr>
        <w:t>vitello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(+3,6% mensile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</w:t>
      </w:r>
      <w:r w:rsidRPr="00B83906">
        <w:rPr>
          <w:rFonts w:ascii="Calibri" w:eastAsia="Calibri" w:hAnsi="Calibri" w:cs="Calibri"/>
          <w:sz w:val="22"/>
          <w:szCs w:val="22"/>
          <w:lang w:eastAsia="en-US"/>
        </w:rPr>
        <w:t>+21,1%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rispetto ad un anno fa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Ulteriore aumento anche per la </w:t>
      </w:r>
      <w:r w:rsidRPr="006E526F">
        <w:rPr>
          <w:rFonts w:ascii="Calibri" w:eastAsia="Calibri" w:hAnsi="Calibri" w:cs="Calibri"/>
          <w:b/>
          <w:sz w:val="22"/>
          <w:szCs w:val="22"/>
          <w:lang w:eastAsia="en-US"/>
        </w:rPr>
        <w:t>carne di tacchino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>a causa di un'offerta limitata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Per contro, dopo i rialzi dei mesi estivi, 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si è </w:t>
      </w:r>
      <w:proofErr w:type="spellStart"/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>ossservato</w:t>
      </w:r>
      <w:proofErr w:type="spellEnd"/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un forte calo 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dei </w:t>
      </w:r>
      <w:r w:rsidR="002660BF" w:rsidRPr="002660BF">
        <w:rPr>
          <w:rFonts w:ascii="Calibri" w:eastAsia="Calibri" w:hAnsi="Calibri" w:cs="Calibri"/>
          <w:b/>
          <w:sz w:val="22"/>
          <w:szCs w:val="22"/>
          <w:lang w:eastAsia="en-US"/>
        </w:rPr>
        <w:t>tagli suini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da macelleria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(-14% rispetto ad agosto).</w:t>
      </w:r>
    </w:p>
    <w:p w14:paraId="468BA98D" w14:textId="5A95AEAF" w:rsidR="0010141B" w:rsidRPr="00923966" w:rsidRDefault="002660BF" w:rsidP="0010141B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Tra i prodotti zootecnici, stabili i </w:t>
      </w:r>
      <w:r w:rsidRPr="002660BF">
        <w:rPr>
          <w:rFonts w:ascii="Calibri" w:eastAsia="Calibri" w:hAnsi="Calibri" w:cs="Calibri"/>
          <w:b/>
          <w:sz w:val="22"/>
          <w:szCs w:val="22"/>
          <w:lang w:eastAsia="en-US"/>
        </w:rPr>
        <w:t>formaggi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mentre c</w:t>
      </w:r>
      <w:r w:rsidR="0010141B">
        <w:rPr>
          <w:rFonts w:ascii="Calibri" w:eastAsia="Calibri" w:hAnsi="Calibri" w:cs="Calibri"/>
          <w:bCs/>
          <w:sz w:val="22"/>
          <w:szCs w:val="22"/>
          <w:lang w:eastAsia="en-US"/>
        </w:rPr>
        <w:t>ontinua</w:t>
      </w:r>
      <w:r w:rsidR="0010141B" w:rsidRPr="0010141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ad aumentare</w:t>
      </w:r>
      <w:r w:rsidR="0010141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il prezzo delle </w:t>
      </w:r>
      <w:r w:rsidR="0010141B" w:rsidRPr="0010141B">
        <w:rPr>
          <w:rFonts w:ascii="Calibri" w:eastAsia="Calibri" w:hAnsi="Calibri" w:cs="Calibri"/>
          <w:b/>
          <w:sz w:val="22"/>
          <w:szCs w:val="22"/>
          <w:lang w:eastAsia="en-US"/>
        </w:rPr>
        <w:t>uova</w:t>
      </w:r>
      <w:r w:rsidR="0010141B">
        <w:rPr>
          <w:rFonts w:ascii="Calibri" w:eastAsia="Calibri" w:hAnsi="Calibri" w:cs="Calibri"/>
          <w:bCs/>
          <w:sz w:val="22"/>
          <w:szCs w:val="22"/>
          <w:lang w:eastAsia="en-US"/>
        </w:rPr>
        <w:t>, registrando un</w:t>
      </w:r>
      <w:r w:rsidR="0010141B" w:rsidRPr="0010141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rialzo mensile del +2,2%, sostenuto da</w:t>
      </w:r>
      <w:r w:rsidR="0010141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10141B" w:rsidRPr="0010141B">
        <w:rPr>
          <w:rFonts w:ascii="Calibri" w:eastAsia="Calibri" w:hAnsi="Calibri" w:cs="Calibri"/>
          <w:bCs/>
          <w:sz w:val="22"/>
          <w:szCs w:val="22"/>
          <w:lang w:eastAsia="en-US"/>
        </w:rPr>
        <w:t>un’offerta limitata sia a livello nazionale che europeo. Su base annua si</w:t>
      </w:r>
      <w:r w:rsidR="0010141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10141B" w:rsidRPr="0010141B">
        <w:rPr>
          <w:rFonts w:ascii="Calibri" w:eastAsia="Calibri" w:hAnsi="Calibri" w:cs="Calibri"/>
          <w:bCs/>
          <w:sz w:val="22"/>
          <w:szCs w:val="22"/>
          <w:lang w:eastAsia="en-US"/>
        </w:rPr>
        <w:t>conferma una crescita del +19,2% rispetto al 2024.</w:t>
      </w:r>
    </w:p>
    <w:p w14:paraId="47E4BD53" w14:textId="33BF284F" w:rsidR="00B83906" w:rsidRDefault="005640F3" w:rsidP="00B83906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Infine, t</w:t>
      </w:r>
      <w:r w:rsidR="00923966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ra le materie grasse, si rileva un’ulteriore diminuzione 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del 9% per il </w:t>
      </w:r>
      <w:r w:rsidR="00923966" w:rsidRPr="009239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prezzo del </w:t>
      </w:r>
      <w:r w:rsidR="00923966" w:rsidRPr="00923966">
        <w:rPr>
          <w:rFonts w:ascii="Calibri" w:eastAsia="Calibri" w:hAnsi="Calibri" w:cs="Calibri"/>
          <w:b/>
          <w:sz w:val="22"/>
          <w:szCs w:val="22"/>
          <w:lang w:eastAsia="en-US"/>
        </w:rPr>
        <w:t>burro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>a causa della sovrapproduzione a livello europeo, fattore che continua a esercitare pressioni al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ribasso sui prezzi. Su base annua, il 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>calo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si amplia sensibilmente, passando dal -2% di 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>agosto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>al</w:t>
      </w:r>
      <w:r w:rsidR="00B8390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>-22,3%</w:t>
      </w:r>
      <w:r w:rsidR="002660B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di settembre</w:t>
      </w:r>
      <w:r w:rsidR="00B83906" w:rsidRPr="00B83906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04BAC969" w14:textId="77777777" w:rsidR="00E03BBF" w:rsidRPr="00C77828" w:rsidRDefault="00E03BBF" w:rsidP="00E03BBF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563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Indice dei prezzi all’ingrosso completo </w:t>
      </w:r>
      <w:hyperlink r:id="rId9" w:history="1">
        <w:r w:rsidRPr="00E5634D">
          <w:rPr>
            <w:rStyle w:val="Collegamentoipertestuale"/>
            <w:rFonts w:ascii="Calibri" w:eastAsia="Calibri" w:hAnsi="Calibri" w:cs="Calibri"/>
            <w:bCs/>
            <w:sz w:val="22"/>
            <w:szCs w:val="22"/>
            <w:lang w:eastAsia="en-US"/>
          </w:rPr>
          <w:t>qui</w:t>
        </w:r>
      </w:hyperlink>
    </w:p>
    <w:p w14:paraId="406955F1" w14:textId="430A7F19" w:rsidR="008E75C6" w:rsidRPr="00C77828" w:rsidRDefault="008E75C6" w:rsidP="00E03BBF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sectPr w:rsidR="008E75C6" w:rsidRPr="00C77828" w:rsidSect="00785C8D">
      <w:footerReference w:type="default" r:id="rId10"/>
      <w:pgSz w:w="11906" w:h="16838"/>
      <w:pgMar w:top="1134" w:right="1559" w:bottom="1134" w:left="1559" w:header="72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0608" w14:textId="77777777" w:rsidR="00340F8E" w:rsidRDefault="00340F8E">
      <w:r>
        <w:separator/>
      </w:r>
    </w:p>
  </w:endnote>
  <w:endnote w:type="continuationSeparator" w:id="0">
    <w:p w14:paraId="7296B2D1" w14:textId="77777777" w:rsidR="00340F8E" w:rsidRDefault="0034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7543" w14:textId="77777777" w:rsidR="00533795" w:rsidRPr="0033356C" w:rsidRDefault="00533795" w:rsidP="00785C8D">
    <w:pPr>
      <w:pStyle w:val="Pidipagina"/>
      <w:rPr>
        <w:rFonts w:ascii="Cambria" w:hAnsi="Cambria"/>
        <w:color w:val="071D49"/>
        <w:sz w:val="20"/>
      </w:rPr>
    </w:pPr>
    <w:r w:rsidRPr="0033356C">
      <w:rPr>
        <w:rFonts w:ascii="Cambria" w:hAnsi="Cambria"/>
        <w:color w:val="071D49"/>
        <w:sz w:val="20"/>
      </w:rPr>
      <w:t>Per ulteriori informazioni:</w:t>
    </w:r>
  </w:p>
  <w:p w14:paraId="1F8463E8" w14:textId="77777777" w:rsidR="00533795" w:rsidRPr="0033356C" w:rsidRDefault="00533795" w:rsidP="00785C8D">
    <w:pPr>
      <w:pStyle w:val="Pidipagina"/>
      <w:rPr>
        <w:rFonts w:ascii="Cambria" w:hAnsi="Cambria"/>
        <w:color w:val="071D49"/>
        <w:sz w:val="20"/>
      </w:rPr>
    </w:pPr>
    <w:r w:rsidRPr="0033356C">
      <w:rPr>
        <w:rFonts w:ascii="Cambria" w:hAnsi="Cambria"/>
        <w:color w:val="071D49"/>
        <w:sz w:val="20"/>
      </w:rPr>
      <w:t>Ufficio stampa Unioncamere</w:t>
    </w:r>
  </w:p>
  <w:p w14:paraId="34F98995" w14:textId="77777777" w:rsidR="00533795" w:rsidRPr="0033356C" w:rsidRDefault="00533795" w:rsidP="00785C8D">
    <w:pPr>
      <w:pStyle w:val="Pidipagina"/>
      <w:rPr>
        <w:rFonts w:ascii="Cambria" w:hAnsi="Cambria"/>
        <w:color w:val="071D49"/>
        <w:sz w:val="20"/>
        <w:lang w:val="en-US"/>
      </w:rPr>
    </w:pPr>
    <w:r w:rsidRPr="0033356C">
      <w:rPr>
        <w:rFonts w:ascii="Cambria" w:hAnsi="Cambria"/>
        <w:color w:val="071D49"/>
        <w:sz w:val="20"/>
        <w:lang w:val="en-US"/>
      </w:rPr>
      <w:t>06.4704.264-350/348.9025607-366.4157335</w:t>
    </w:r>
  </w:p>
  <w:p w14:paraId="641FEBD9" w14:textId="77777777" w:rsidR="00533795" w:rsidRPr="0033356C" w:rsidRDefault="008F166A" w:rsidP="00785C8D">
    <w:pPr>
      <w:pStyle w:val="Pidipagina"/>
      <w:rPr>
        <w:rFonts w:ascii="Cambria" w:hAnsi="Cambria"/>
        <w:color w:val="071D49"/>
        <w:sz w:val="20"/>
        <w:lang w:val="en-US"/>
      </w:rPr>
    </w:pPr>
    <w:r>
      <w:rPr>
        <w:rFonts w:ascii="Cambria" w:hAnsi="Cambria"/>
        <w:color w:val="071D49"/>
        <w:sz w:val="20"/>
        <w:lang w:val="en-US"/>
      </w:rPr>
      <w:t xml:space="preserve">ufficio.stampa@unioncamere.it - </w:t>
    </w:r>
    <w:r w:rsidR="00533795">
      <w:fldChar w:fldCharType="begin"/>
    </w:r>
    <w:r w:rsidR="00533795" w:rsidRPr="000D68F0">
      <w:rPr>
        <w:lang w:val="en-GB"/>
      </w:rPr>
      <w:instrText>HYPERLINK "http://www.unioncamere.gov.it"</w:instrText>
    </w:r>
    <w:r w:rsidR="00533795">
      <w:fldChar w:fldCharType="separate"/>
    </w:r>
    <w:r w:rsidR="00533795" w:rsidRPr="008F166A">
      <w:rPr>
        <w:lang w:val="en-GB"/>
      </w:rPr>
      <w:t>www.unioncamere.gov.it</w:t>
    </w:r>
    <w:r w:rsidR="00533795">
      <w:fldChar w:fldCharType="end"/>
    </w:r>
    <w:r w:rsidR="00533795" w:rsidRPr="0033356C">
      <w:rPr>
        <w:rFonts w:ascii="Cambria" w:hAnsi="Cambria"/>
        <w:color w:val="071D49"/>
        <w:sz w:val="20"/>
        <w:lang w:val="en-US"/>
      </w:rPr>
      <w:t xml:space="preserve"> - twitter.com/</w:t>
    </w:r>
    <w:proofErr w:type="spellStart"/>
    <w:r w:rsidR="00533795" w:rsidRPr="0033356C">
      <w:rPr>
        <w:rFonts w:ascii="Cambria" w:hAnsi="Cambria"/>
        <w:color w:val="071D49"/>
        <w:sz w:val="20"/>
        <w:lang w:val="en-US"/>
      </w:rPr>
      <w:t>unioncamere</w:t>
    </w:r>
    <w:proofErr w:type="spellEnd"/>
  </w:p>
  <w:p w14:paraId="37A7D20D" w14:textId="77777777" w:rsidR="00533795" w:rsidRPr="0033356C" w:rsidRDefault="00533795" w:rsidP="00AA6A8B">
    <w:pPr>
      <w:pStyle w:val="Pidipagina"/>
      <w:rPr>
        <w:rFonts w:ascii="Cambria" w:hAnsi="Cambria"/>
        <w:color w:val="8080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A8D1" w14:textId="77777777" w:rsidR="00340F8E" w:rsidRDefault="00340F8E">
      <w:r>
        <w:separator/>
      </w:r>
    </w:p>
  </w:footnote>
  <w:footnote w:type="continuationSeparator" w:id="0">
    <w:p w14:paraId="1408E7C5" w14:textId="77777777" w:rsidR="00340F8E" w:rsidRDefault="0034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9.8pt;height:49.8pt" o:bullet="t">
        <v:imagedata r:id="rId1" o:title="ico_uc_email"/>
      </v:shape>
    </w:pict>
  </w:numPicBullet>
  <w:abstractNum w:abstractNumId="0" w15:restartNumberingAfterBreak="0">
    <w:nsid w:val="0CE27DE2"/>
    <w:multiLevelType w:val="multilevel"/>
    <w:tmpl w:val="3158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010909509">
    <w:abstractNumId w:val="3"/>
  </w:num>
  <w:num w:numId="2" w16cid:durableId="1594969296">
    <w:abstractNumId w:val="2"/>
  </w:num>
  <w:num w:numId="3" w16cid:durableId="1715494687">
    <w:abstractNumId w:val="1"/>
  </w:num>
  <w:num w:numId="4" w16cid:durableId="6390729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115F"/>
    <w:rsid w:val="0000117C"/>
    <w:rsid w:val="000072A3"/>
    <w:rsid w:val="0001626C"/>
    <w:rsid w:val="0002247B"/>
    <w:rsid w:val="00025BCB"/>
    <w:rsid w:val="00027F2E"/>
    <w:rsid w:val="000309DB"/>
    <w:rsid w:val="00032186"/>
    <w:rsid w:val="00035E2A"/>
    <w:rsid w:val="0003766C"/>
    <w:rsid w:val="0003772E"/>
    <w:rsid w:val="00041FB3"/>
    <w:rsid w:val="00043006"/>
    <w:rsid w:val="00047C18"/>
    <w:rsid w:val="00050877"/>
    <w:rsid w:val="00052BE9"/>
    <w:rsid w:val="000533F9"/>
    <w:rsid w:val="000545C2"/>
    <w:rsid w:val="0005535F"/>
    <w:rsid w:val="00057783"/>
    <w:rsid w:val="000614B3"/>
    <w:rsid w:val="00062116"/>
    <w:rsid w:val="00065EAB"/>
    <w:rsid w:val="00066E10"/>
    <w:rsid w:val="00067432"/>
    <w:rsid w:val="0007352A"/>
    <w:rsid w:val="000742A4"/>
    <w:rsid w:val="00080A0C"/>
    <w:rsid w:val="00093073"/>
    <w:rsid w:val="000937E0"/>
    <w:rsid w:val="00094650"/>
    <w:rsid w:val="00094735"/>
    <w:rsid w:val="000A0D17"/>
    <w:rsid w:val="000A126F"/>
    <w:rsid w:val="000A39DA"/>
    <w:rsid w:val="000A5C7E"/>
    <w:rsid w:val="000A7DEA"/>
    <w:rsid w:val="000B1675"/>
    <w:rsid w:val="000B2D19"/>
    <w:rsid w:val="000B51CF"/>
    <w:rsid w:val="000B6C06"/>
    <w:rsid w:val="000B6F16"/>
    <w:rsid w:val="000C0D10"/>
    <w:rsid w:val="000C18FE"/>
    <w:rsid w:val="000C1F1E"/>
    <w:rsid w:val="000C48B9"/>
    <w:rsid w:val="000C5465"/>
    <w:rsid w:val="000C5E21"/>
    <w:rsid w:val="000C5E76"/>
    <w:rsid w:val="000C69FE"/>
    <w:rsid w:val="000D0D29"/>
    <w:rsid w:val="000D0FA1"/>
    <w:rsid w:val="000D1FBA"/>
    <w:rsid w:val="000D37E5"/>
    <w:rsid w:val="000D4153"/>
    <w:rsid w:val="000D4272"/>
    <w:rsid w:val="000D59EA"/>
    <w:rsid w:val="000D68F0"/>
    <w:rsid w:val="000D70D1"/>
    <w:rsid w:val="000D7177"/>
    <w:rsid w:val="000D755A"/>
    <w:rsid w:val="000D7AF4"/>
    <w:rsid w:val="000E2080"/>
    <w:rsid w:val="000E3CF5"/>
    <w:rsid w:val="000E4A2D"/>
    <w:rsid w:val="000E669F"/>
    <w:rsid w:val="000E6FE3"/>
    <w:rsid w:val="000E7BDB"/>
    <w:rsid w:val="000F1AC0"/>
    <w:rsid w:val="000F2C36"/>
    <w:rsid w:val="000F36D6"/>
    <w:rsid w:val="000F6068"/>
    <w:rsid w:val="00100C3C"/>
    <w:rsid w:val="0010141B"/>
    <w:rsid w:val="0010432B"/>
    <w:rsid w:val="00105851"/>
    <w:rsid w:val="00106374"/>
    <w:rsid w:val="0010753D"/>
    <w:rsid w:val="00107581"/>
    <w:rsid w:val="001128D5"/>
    <w:rsid w:val="00113298"/>
    <w:rsid w:val="00113A18"/>
    <w:rsid w:val="00120DC6"/>
    <w:rsid w:val="00123F37"/>
    <w:rsid w:val="00125D77"/>
    <w:rsid w:val="00126A19"/>
    <w:rsid w:val="00131021"/>
    <w:rsid w:val="0013186C"/>
    <w:rsid w:val="001372AC"/>
    <w:rsid w:val="00140083"/>
    <w:rsid w:val="001423FF"/>
    <w:rsid w:val="00143A49"/>
    <w:rsid w:val="00145DA9"/>
    <w:rsid w:val="00146FA5"/>
    <w:rsid w:val="0015628E"/>
    <w:rsid w:val="00160BF3"/>
    <w:rsid w:val="00161FA2"/>
    <w:rsid w:val="00163327"/>
    <w:rsid w:val="0016716A"/>
    <w:rsid w:val="00167B1C"/>
    <w:rsid w:val="001718AA"/>
    <w:rsid w:val="00171B3F"/>
    <w:rsid w:val="00171E7C"/>
    <w:rsid w:val="00172A83"/>
    <w:rsid w:val="00181256"/>
    <w:rsid w:val="00182A40"/>
    <w:rsid w:val="001845E5"/>
    <w:rsid w:val="00186197"/>
    <w:rsid w:val="0019089A"/>
    <w:rsid w:val="00191B38"/>
    <w:rsid w:val="00192E26"/>
    <w:rsid w:val="001956FC"/>
    <w:rsid w:val="00197619"/>
    <w:rsid w:val="00197937"/>
    <w:rsid w:val="001A293B"/>
    <w:rsid w:val="001A48C3"/>
    <w:rsid w:val="001A50D9"/>
    <w:rsid w:val="001B525B"/>
    <w:rsid w:val="001B6D77"/>
    <w:rsid w:val="001B7EA3"/>
    <w:rsid w:val="001C16A7"/>
    <w:rsid w:val="001C1EF3"/>
    <w:rsid w:val="001C2EE7"/>
    <w:rsid w:val="001C3DD0"/>
    <w:rsid w:val="001C6F4C"/>
    <w:rsid w:val="001D119E"/>
    <w:rsid w:val="001D47A6"/>
    <w:rsid w:val="001E1AC8"/>
    <w:rsid w:val="001E2A46"/>
    <w:rsid w:val="001E722A"/>
    <w:rsid w:val="001F06C2"/>
    <w:rsid w:val="001F1DD4"/>
    <w:rsid w:val="001F4790"/>
    <w:rsid w:val="001F4B6B"/>
    <w:rsid w:val="001F6734"/>
    <w:rsid w:val="00204651"/>
    <w:rsid w:val="002049DF"/>
    <w:rsid w:val="00204FD5"/>
    <w:rsid w:val="00205121"/>
    <w:rsid w:val="00210367"/>
    <w:rsid w:val="00211D1B"/>
    <w:rsid w:val="00212CA2"/>
    <w:rsid w:val="00213423"/>
    <w:rsid w:val="002160C9"/>
    <w:rsid w:val="00217BC5"/>
    <w:rsid w:val="00220360"/>
    <w:rsid w:val="002223DB"/>
    <w:rsid w:val="002235A3"/>
    <w:rsid w:val="002260C5"/>
    <w:rsid w:val="00227B6D"/>
    <w:rsid w:val="00231C37"/>
    <w:rsid w:val="00237224"/>
    <w:rsid w:val="00237E0A"/>
    <w:rsid w:val="002444B0"/>
    <w:rsid w:val="00245F58"/>
    <w:rsid w:val="002460D3"/>
    <w:rsid w:val="00247664"/>
    <w:rsid w:val="00250FFA"/>
    <w:rsid w:val="0025309C"/>
    <w:rsid w:val="0025473B"/>
    <w:rsid w:val="00254A4D"/>
    <w:rsid w:val="00254D95"/>
    <w:rsid w:val="002604CB"/>
    <w:rsid w:val="00263A51"/>
    <w:rsid w:val="00264439"/>
    <w:rsid w:val="0026580C"/>
    <w:rsid w:val="002660BF"/>
    <w:rsid w:val="002664A3"/>
    <w:rsid w:val="00267440"/>
    <w:rsid w:val="0027205F"/>
    <w:rsid w:val="00272216"/>
    <w:rsid w:val="00281E9E"/>
    <w:rsid w:val="002826D4"/>
    <w:rsid w:val="00283E30"/>
    <w:rsid w:val="002842EE"/>
    <w:rsid w:val="002848E2"/>
    <w:rsid w:val="002911A9"/>
    <w:rsid w:val="00292ED5"/>
    <w:rsid w:val="002A3E6B"/>
    <w:rsid w:val="002A7DE5"/>
    <w:rsid w:val="002A7F4E"/>
    <w:rsid w:val="002B31E0"/>
    <w:rsid w:val="002B506B"/>
    <w:rsid w:val="002B7163"/>
    <w:rsid w:val="002B7C00"/>
    <w:rsid w:val="002C17D8"/>
    <w:rsid w:val="002C1E20"/>
    <w:rsid w:val="002C7AC1"/>
    <w:rsid w:val="002D4193"/>
    <w:rsid w:val="002E4F63"/>
    <w:rsid w:val="002E5739"/>
    <w:rsid w:val="002E6027"/>
    <w:rsid w:val="002E62C2"/>
    <w:rsid w:val="002E7FA5"/>
    <w:rsid w:val="002F72CE"/>
    <w:rsid w:val="00300140"/>
    <w:rsid w:val="0030352A"/>
    <w:rsid w:val="00307330"/>
    <w:rsid w:val="003156F3"/>
    <w:rsid w:val="00316CEA"/>
    <w:rsid w:val="00320C85"/>
    <w:rsid w:val="00324DC5"/>
    <w:rsid w:val="00324DFB"/>
    <w:rsid w:val="00326E34"/>
    <w:rsid w:val="0033356C"/>
    <w:rsid w:val="00335E24"/>
    <w:rsid w:val="003403AC"/>
    <w:rsid w:val="00340F8E"/>
    <w:rsid w:val="003415A8"/>
    <w:rsid w:val="00344D91"/>
    <w:rsid w:val="003451D1"/>
    <w:rsid w:val="00353FD8"/>
    <w:rsid w:val="003702FD"/>
    <w:rsid w:val="00373F55"/>
    <w:rsid w:val="003751BB"/>
    <w:rsid w:val="00381BA7"/>
    <w:rsid w:val="00383EC1"/>
    <w:rsid w:val="003864F8"/>
    <w:rsid w:val="00386B62"/>
    <w:rsid w:val="003872C5"/>
    <w:rsid w:val="00390A8E"/>
    <w:rsid w:val="00396223"/>
    <w:rsid w:val="003A19B6"/>
    <w:rsid w:val="003A45EF"/>
    <w:rsid w:val="003A7EC3"/>
    <w:rsid w:val="003B00BA"/>
    <w:rsid w:val="003B2618"/>
    <w:rsid w:val="003C0525"/>
    <w:rsid w:val="003C29FF"/>
    <w:rsid w:val="003D0F8B"/>
    <w:rsid w:val="003D42B4"/>
    <w:rsid w:val="003D6009"/>
    <w:rsid w:val="003E0B48"/>
    <w:rsid w:val="003E1650"/>
    <w:rsid w:val="003E1B26"/>
    <w:rsid w:val="003E1C5E"/>
    <w:rsid w:val="003E5F6A"/>
    <w:rsid w:val="003E683C"/>
    <w:rsid w:val="003E7B9B"/>
    <w:rsid w:val="003F3300"/>
    <w:rsid w:val="003F569C"/>
    <w:rsid w:val="004009C1"/>
    <w:rsid w:val="004011C4"/>
    <w:rsid w:val="00401BE2"/>
    <w:rsid w:val="004034D7"/>
    <w:rsid w:val="00412AAC"/>
    <w:rsid w:val="00413C0C"/>
    <w:rsid w:val="00415AF1"/>
    <w:rsid w:val="00424B88"/>
    <w:rsid w:val="00434150"/>
    <w:rsid w:val="0043471E"/>
    <w:rsid w:val="004369ED"/>
    <w:rsid w:val="00437632"/>
    <w:rsid w:val="00446375"/>
    <w:rsid w:val="004510B3"/>
    <w:rsid w:val="0045368A"/>
    <w:rsid w:val="00453D90"/>
    <w:rsid w:val="00462B21"/>
    <w:rsid w:val="00467345"/>
    <w:rsid w:val="00471A94"/>
    <w:rsid w:val="00475936"/>
    <w:rsid w:val="00475B6C"/>
    <w:rsid w:val="004764FA"/>
    <w:rsid w:val="00495EA8"/>
    <w:rsid w:val="004965EF"/>
    <w:rsid w:val="00497008"/>
    <w:rsid w:val="004A4393"/>
    <w:rsid w:val="004A6843"/>
    <w:rsid w:val="004B5426"/>
    <w:rsid w:val="004B7016"/>
    <w:rsid w:val="004B7238"/>
    <w:rsid w:val="004C127C"/>
    <w:rsid w:val="004E0B8E"/>
    <w:rsid w:val="004E4C35"/>
    <w:rsid w:val="004E641D"/>
    <w:rsid w:val="004E6727"/>
    <w:rsid w:val="004E6FDA"/>
    <w:rsid w:val="004F04BD"/>
    <w:rsid w:val="004F19E3"/>
    <w:rsid w:val="004F4200"/>
    <w:rsid w:val="004F7EC9"/>
    <w:rsid w:val="00501F78"/>
    <w:rsid w:val="005063EE"/>
    <w:rsid w:val="00514341"/>
    <w:rsid w:val="005150FF"/>
    <w:rsid w:val="00522A2C"/>
    <w:rsid w:val="00524DBE"/>
    <w:rsid w:val="00526B59"/>
    <w:rsid w:val="00527CFE"/>
    <w:rsid w:val="005312B1"/>
    <w:rsid w:val="00531577"/>
    <w:rsid w:val="00532EEE"/>
    <w:rsid w:val="00533795"/>
    <w:rsid w:val="005352B0"/>
    <w:rsid w:val="00536A0E"/>
    <w:rsid w:val="00536CBE"/>
    <w:rsid w:val="00536DA7"/>
    <w:rsid w:val="005406F0"/>
    <w:rsid w:val="005524CF"/>
    <w:rsid w:val="00554CFC"/>
    <w:rsid w:val="00555510"/>
    <w:rsid w:val="005572D0"/>
    <w:rsid w:val="00557412"/>
    <w:rsid w:val="00560A21"/>
    <w:rsid w:val="005640F3"/>
    <w:rsid w:val="00566EE8"/>
    <w:rsid w:val="00571646"/>
    <w:rsid w:val="00572851"/>
    <w:rsid w:val="00575C46"/>
    <w:rsid w:val="005830A3"/>
    <w:rsid w:val="0058333A"/>
    <w:rsid w:val="005922F2"/>
    <w:rsid w:val="005A0CC3"/>
    <w:rsid w:val="005A42CE"/>
    <w:rsid w:val="005A4464"/>
    <w:rsid w:val="005A4D1F"/>
    <w:rsid w:val="005B0667"/>
    <w:rsid w:val="005B3473"/>
    <w:rsid w:val="005B4A39"/>
    <w:rsid w:val="005B5E62"/>
    <w:rsid w:val="005B68FC"/>
    <w:rsid w:val="005D426B"/>
    <w:rsid w:val="005D79A7"/>
    <w:rsid w:val="005D7E24"/>
    <w:rsid w:val="005E491C"/>
    <w:rsid w:val="005E6593"/>
    <w:rsid w:val="005E73F0"/>
    <w:rsid w:val="005F12B4"/>
    <w:rsid w:val="005F4A3C"/>
    <w:rsid w:val="005F62C6"/>
    <w:rsid w:val="005F63C7"/>
    <w:rsid w:val="006028B7"/>
    <w:rsid w:val="006050A4"/>
    <w:rsid w:val="00610A89"/>
    <w:rsid w:val="00611877"/>
    <w:rsid w:val="00614649"/>
    <w:rsid w:val="00616BB1"/>
    <w:rsid w:val="00622826"/>
    <w:rsid w:val="00622E40"/>
    <w:rsid w:val="00625843"/>
    <w:rsid w:val="00626E07"/>
    <w:rsid w:val="006272E3"/>
    <w:rsid w:val="00630F89"/>
    <w:rsid w:val="0063223A"/>
    <w:rsid w:val="00632788"/>
    <w:rsid w:val="00632FC3"/>
    <w:rsid w:val="00635122"/>
    <w:rsid w:val="00644253"/>
    <w:rsid w:val="00647ABF"/>
    <w:rsid w:val="00654454"/>
    <w:rsid w:val="006544F7"/>
    <w:rsid w:val="00654852"/>
    <w:rsid w:val="00654FF7"/>
    <w:rsid w:val="006560E3"/>
    <w:rsid w:val="006620B5"/>
    <w:rsid w:val="00664AE1"/>
    <w:rsid w:val="00666789"/>
    <w:rsid w:val="00667FF4"/>
    <w:rsid w:val="00672B82"/>
    <w:rsid w:val="00680692"/>
    <w:rsid w:val="00697C9E"/>
    <w:rsid w:val="006A1347"/>
    <w:rsid w:val="006A2360"/>
    <w:rsid w:val="006A3408"/>
    <w:rsid w:val="006A678F"/>
    <w:rsid w:val="006B0E7E"/>
    <w:rsid w:val="006B106A"/>
    <w:rsid w:val="006B2ECB"/>
    <w:rsid w:val="006B31AA"/>
    <w:rsid w:val="006B5691"/>
    <w:rsid w:val="006B67D9"/>
    <w:rsid w:val="006B683F"/>
    <w:rsid w:val="006B6D71"/>
    <w:rsid w:val="006C13B7"/>
    <w:rsid w:val="006C1C15"/>
    <w:rsid w:val="006C1CD6"/>
    <w:rsid w:val="006C3D08"/>
    <w:rsid w:val="006C4053"/>
    <w:rsid w:val="006C5714"/>
    <w:rsid w:val="006D1DDB"/>
    <w:rsid w:val="006D3554"/>
    <w:rsid w:val="006E2167"/>
    <w:rsid w:val="006E2DE2"/>
    <w:rsid w:val="006E526F"/>
    <w:rsid w:val="006E54EE"/>
    <w:rsid w:val="006E6578"/>
    <w:rsid w:val="006F30B8"/>
    <w:rsid w:val="006F36E1"/>
    <w:rsid w:val="006F7E0E"/>
    <w:rsid w:val="0070168B"/>
    <w:rsid w:val="00702843"/>
    <w:rsid w:val="00702E5B"/>
    <w:rsid w:val="00703D43"/>
    <w:rsid w:val="00712154"/>
    <w:rsid w:val="00713035"/>
    <w:rsid w:val="00713DDA"/>
    <w:rsid w:val="00714DB3"/>
    <w:rsid w:val="00717DEE"/>
    <w:rsid w:val="00722F9C"/>
    <w:rsid w:val="00725433"/>
    <w:rsid w:val="0072636C"/>
    <w:rsid w:val="00730050"/>
    <w:rsid w:val="0073360A"/>
    <w:rsid w:val="00735419"/>
    <w:rsid w:val="00736BCC"/>
    <w:rsid w:val="007445AB"/>
    <w:rsid w:val="00753891"/>
    <w:rsid w:val="00754F61"/>
    <w:rsid w:val="00755BD5"/>
    <w:rsid w:val="00764F6F"/>
    <w:rsid w:val="007703CE"/>
    <w:rsid w:val="00777C1E"/>
    <w:rsid w:val="00782DC1"/>
    <w:rsid w:val="00785944"/>
    <w:rsid w:val="00785C8D"/>
    <w:rsid w:val="00795437"/>
    <w:rsid w:val="00796D9A"/>
    <w:rsid w:val="00797459"/>
    <w:rsid w:val="00797F95"/>
    <w:rsid w:val="007A3297"/>
    <w:rsid w:val="007A5A85"/>
    <w:rsid w:val="007A69BE"/>
    <w:rsid w:val="007A6C4D"/>
    <w:rsid w:val="007B065C"/>
    <w:rsid w:val="007B16F4"/>
    <w:rsid w:val="007B23C3"/>
    <w:rsid w:val="007B3113"/>
    <w:rsid w:val="007B4CE8"/>
    <w:rsid w:val="007C3477"/>
    <w:rsid w:val="007C532F"/>
    <w:rsid w:val="007D6ABF"/>
    <w:rsid w:val="007E31C2"/>
    <w:rsid w:val="007E3295"/>
    <w:rsid w:val="007E32CD"/>
    <w:rsid w:val="007E697A"/>
    <w:rsid w:val="007F382B"/>
    <w:rsid w:val="007F3C84"/>
    <w:rsid w:val="007F4016"/>
    <w:rsid w:val="007F4A7F"/>
    <w:rsid w:val="008016DF"/>
    <w:rsid w:val="0080258A"/>
    <w:rsid w:val="0081126F"/>
    <w:rsid w:val="00823440"/>
    <w:rsid w:val="00824480"/>
    <w:rsid w:val="00826849"/>
    <w:rsid w:val="00832013"/>
    <w:rsid w:val="008436D8"/>
    <w:rsid w:val="00844195"/>
    <w:rsid w:val="00850EF3"/>
    <w:rsid w:val="008510EE"/>
    <w:rsid w:val="00852C93"/>
    <w:rsid w:val="00852E0E"/>
    <w:rsid w:val="008533A7"/>
    <w:rsid w:val="00854C28"/>
    <w:rsid w:val="008553E1"/>
    <w:rsid w:val="00856673"/>
    <w:rsid w:val="00861167"/>
    <w:rsid w:val="008665C9"/>
    <w:rsid w:val="008721A4"/>
    <w:rsid w:val="00873DC0"/>
    <w:rsid w:val="008833B1"/>
    <w:rsid w:val="008846F1"/>
    <w:rsid w:val="00890B97"/>
    <w:rsid w:val="00892D87"/>
    <w:rsid w:val="00892E68"/>
    <w:rsid w:val="00893E33"/>
    <w:rsid w:val="00895290"/>
    <w:rsid w:val="00895AD4"/>
    <w:rsid w:val="008A01C5"/>
    <w:rsid w:val="008A2564"/>
    <w:rsid w:val="008A4139"/>
    <w:rsid w:val="008A6386"/>
    <w:rsid w:val="008A6DB6"/>
    <w:rsid w:val="008B217D"/>
    <w:rsid w:val="008B2399"/>
    <w:rsid w:val="008B407C"/>
    <w:rsid w:val="008B47FC"/>
    <w:rsid w:val="008B7EEF"/>
    <w:rsid w:val="008C0BEE"/>
    <w:rsid w:val="008C1C75"/>
    <w:rsid w:val="008C45D8"/>
    <w:rsid w:val="008C5430"/>
    <w:rsid w:val="008C5606"/>
    <w:rsid w:val="008D0AE8"/>
    <w:rsid w:val="008D2929"/>
    <w:rsid w:val="008D29BF"/>
    <w:rsid w:val="008E0361"/>
    <w:rsid w:val="008E5B15"/>
    <w:rsid w:val="008E6720"/>
    <w:rsid w:val="008E75C6"/>
    <w:rsid w:val="008F166A"/>
    <w:rsid w:val="008F2997"/>
    <w:rsid w:val="00900438"/>
    <w:rsid w:val="00903E4C"/>
    <w:rsid w:val="0090717B"/>
    <w:rsid w:val="00910DD4"/>
    <w:rsid w:val="00915069"/>
    <w:rsid w:val="00922B43"/>
    <w:rsid w:val="00923966"/>
    <w:rsid w:val="0093062B"/>
    <w:rsid w:val="009327BA"/>
    <w:rsid w:val="00932F28"/>
    <w:rsid w:val="00934B96"/>
    <w:rsid w:val="00935073"/>
    <w:rsid w:val="0093779A"/>
    <w:rsid w:val="0094186A"/>
    <w:rsid w:val="009533DE"/>
    <w:rsid w:val="009566D2"/>
    <w:rsid w:val="009566D3"/>
    <w:rsid w:val="009574B0"/>
    <w:rsid w:val="0095757A"/>
    <w:rsid w:val="00957D76"/>
    <w:rsid w:val="009627F1"/>
    <w:rsid w:val="009643B9"/>
    <w:rsid w:val="00967041"/>
    <w:rsid w:val="00967AEF"/>
    <w:rsid w:val="00970E8C"/>
    <w:rsid w:val="00971F50"/>
    <w:rsid w:val="009749B6"/>
    <w:rsid w:val="0097786A"/>
    <w:rsid w:val="0097786F"/>
    <w:rsid w:val="00977D74"/>
    <w:rsid w:val="00983723"/>
    <w:rsid w:val="0098431C"/>
    <w:rsid w:val="009865CB"/>
    <w:rsid w:val="00990344"/>
    <w:rsid w:val="00990ADC"/>
    <w:rsid w:val="009935BF"/>
    <w:rsid w:val="00993DBE"/>
    <w:rsid w:val="00997D99"/>
    <w:rsid w:val="009A1242"/>
    <w:rsid w:val="009A612E"/>
    <w:rsid w:val="009B29A8"/>
    <w:rsid w:val="009B3B0F"/>
    <w:rsid w:val="009C5693"/>
    <w:rsid w:val="009C66A3"/>
    <w:rsid w:val="009D001D"/>
    <w:rsid w:val="009D5849"/>
    <w:rsid w:val="009D71EA"/>
    <w:rsid w:val="009E0C72"/>
    <w:rsid w:val="009E193A"/>
    <w:rsid w:val="009E314A"/>
    <w:rsid w:val="009E4231"/>
    <w:rsid w:val="009E5D34"/>
    <w:rsid w:val="009E75AF"/>
    <w:rsid w:val="009F62C3"/>
    <w:rsid w:val="009F62D8"/>
    <w:rsid w:val="00A01C32"/>
    <w:rsid w:val="00A06E20"/>
    <w:rsid w:val="00A07BD2"/>
    <w:rsid w:val="00A1794C"/>
    <w:rsid w:val="00A232A6"/>
    <w:rsid w:val="00A24879"/>
    <w:rsid w:val="00A30A39"/>
    <w:rsid w:val="00A37051"/>
    <w:rsid w:val="00A406A1"/>
    <w:rsid w:val="00A50602"/>
    <w:rsid w:val="00A545A4"/>
    <w:rsid w:val="00A54B9D"/>
    <w:rsid w:val="00A5734F"/>
    <w:rsid w:val="00A6237B"/>
    <w:rsid w:val="00A62435"/>
    <w:rsid w:val="00A63ABE"/>
    <w:rsid w:val="00A677ED"/>
    <w:rsid w:val="00A67A32"/>
    <w:rsid w:val="00A72E33"/>
    <w:rsid w:val="00A756B4"/>
    <w:rsid w:val="00A84003"/>
    <w:rsid w:val="00A8523D"/>
    <w:rsid w:val="00A93ED2"/>
    <w:rsid w:val="00A9567C"/>
    <w:rsid w:val="00A95820"/>
    <w:rsid w:val="00AA641B"/>
    <w:rsid w:val="00AA6A8B"/>
    <w:rsid w:val="00AB28DD"/>
    <w:rsid w:val="00AB3539"/>
    <w:rsid w:val="00AC2C63"/>
    <w:rsid w:val="00AC3566"/>
    <w:rsid w:val="00AC48EB"/>
    <w:rsid w:val="00AD4F59"/>
    <w:rsid w:val="00AD565B"/>
    <w:rsid w:val="00AE1C04"/>
    <w:rsid w:val="00AE319A"/>
    <w:rsid w:val="00AE614F"/>
    <w:rsid w:val="00AE6432"/>
    <w:rsid w:val="00AE74D3"/>
    <w:rsid w:val="00AF1532"/>
    <w:rsid w:val="00AF241A"/>
    <w:rsid w:val="00AF73CA"/>
    <w:rsid w:val="00B004D6"/>
    <w:rsid w:val="00B05389"/>
    <w:rsid w:val="00B114F9"/>
    <w:rsid w:val="00B13608"/>
    <w:rsid w:val="00B14225"/>
    <w:rsid w:val="00B151BA"/>
    <w:rsid w:val="00B26FF3"/>
    <w:rsid w:val="00B338C2"/>
    <w:rsid w:val="00B3577E"/>
    <w:rsid w:val="00B40243"/>
    <w:rsid w:val="00B4150A"/>
    <w:rsid w:val="00B46FF8"/>
    <w:rsid w:val="00B50CB1"/>
    <w:rsid w:val="00B52B31"/>
    <w:rsid w:val="00B56BAE"/>
    <w:rsid w:val="00B60FF4"/>
    <w:rsid w:val="00B61F21"/>
    <w:rsid w:val="00B6381C"/>
    <w:rsid w:val="00B639D0"/>
    <w:rsid w:val="00B73230"/>
    <w:rsid w:val="00B74A1A"/>
    <w:rsid w:val="00B75063"/>
    <w:rsid w:val="00B77591"/>
    <w:rsid w:val="00B778A4"/>
    <w:rsid w:val="00B81D4F"/>
    <w:rsid w:val="00B821EE"/>
    <w:rsid w:val="00B83522"/>
    <w:rsid w:val="00B83906"/>
    <w:rsid w:val="00B844F4"/>
    <w:rsid w:val="00B873D9"/>
    <w:rsid w:val="00B932DD"/>
    <w:rsid w:val="00B93431"/>
    <w:rsid w:val="00B9515B"/>
    <w:rsid w:val="00B95C96"/>
    <w:rsid w:val="00B968FB"/>
    <w:rsid w:val="00B97BC2"/>
    <w:rsid w:val="00BB30D9"/>
    <w:rsid w:val="00BB4124"/>
    <w:rsid w:val="00BB63ED"/>
    <w:rsid w:val="00BB643E"/>
    <w:rsid w:val="00BC5D39"/>
    <w:rsid w:val="00BC64D2"/>
    <w:rsid w:val="00BC76D4"/>
    <w:rsid w:val="00BD162D"/>
    <w:rsid w:val="00BD6A2D"/>
    <w:rsid w:val="00BE224B"/>
    <w:rsid w:val="00BE7ED1"/>
    <w:rsid w:val="00BF0D54"/>
    <w:rsid w:val="00BF4FD0"/>
    <w:rsid w:val="00C00FD5"/>
    <w:rsid w:val="00C01C86"/>
    <w:rsid w:val="00C10CD0"/>
    <w:rsid w:val="00C25359"/>
    <w:rsid w:val="00C27FE1"/>
    <w:rsid w:val="00C30181"/>
    <w:rsid w:val="00C314D1"/>
    <w:rsid w:val="00C332C6"/>
    <w:rsid w:val="00C34991"/>
    <w:rsid w:val="00C35F55"/>
    <w:rsid w:val="00C40360"/>
    <w:rsid w:val="00C41C26"/>
    <w:rsid w:val="00C42D50"/>
    <w:rsid w:val="00C4458F"/>
    <w:rsid w:val="00C4581C"/>
    <w:rsid w:val="00C505F4"/>
    <w:rsid w:val="00C51A31"/>
    <w:rsid w:val="00C5304C"/>
    <w:rsid w:val="00C53A47"/>
    <w:rsid w:val="00C54320"/>
    <w:rsid w:val="00C54D54"/>
    <w:rsid w:val="00C57B08"/>
    <w:rsid w:val="00C60E89"/>
    <w:rsid w:val="00C638AF"/>
    <w:rsid w:val="00C66BDC"/>
    <w:rsid w:val="00C73CE9"/>
    <w:rsid w:val="00C75D50"/>
    <w:rsid w:val="00C76CE8"/>
    <w:rsid w:val="00C77828"/>
    <w:rsid w:val="00C82AEE"/>
    <w:rsid w:val="00C83CA0"/>
    <w:rsid w:val="00C83FFB"/>
    <w:rsid w:val="00C859DD"/>
    <w:rsid w:val="00C86623"/>
    <w:rsid w:val="00C873E2"/>
    <w:rsid w:val="00C90647"/>
    <w:rsid w:val="00C90BAB"/>
    <w:rsid w:val="00C9369C"/>
    <w:rsid w:val="00C936C5"/>
    <w:rsid w:val="00C94088"/>
    <w:rsid w:val="00C945C3"/>
    <w:rsid w:val="00C95E2C"/>
    <w:rsid w:val="00C97864"/>
    <w:rsid w:val="00CA2911"/>
    <w:rsid w:val="00CA31DB"/>
    <w:rsid w:val="00CA3CB5"/>
    <w:rsid w:val="00CA5984"/>
    <w:rsid w:val="00CA7779"/>
    <w:rsid w:val="00CA78B1"/>
    <w:rsid w:val="00CB392C"/>
    <w:rsid w:val="00CB7314"/>
    <w:rsid w:val="00CC5E24"/>
    <w:rsid w:val="00CC7457"/>
    <w:rsid w:val="00CD121F"/>
    <w:rsid w:val="00CD4F0E"/>
    <w:rsid w:val="00CE1905"/>
    <w:rsid w:val="00CE32FB"/>
    <w:rsid w:val="00CF031E"/>
    <w:rsid w:val="00CF03C6"/>
    <w:rsid w:val="00CF0F72"/>
    <w:rsid w:val="00CF3136"/>
    <w:rsid w:val="00D01F62"/>
    <w:rsid w:val="00D053DE"/>
    <w:rsid w:val="00D05E48"/>
    <w:rsid w:val="00D10C49"/>
    <w:rsid w:val="00D12C37"/>
    <w:rsid w:val="00D212D1"/>
    <w:rsid w:val="00D21833"/>
    <w:rsid w:val="00D21A3C"/>
    <w:rsid w:val="00D22EBA"/>
    <w:rsid w:val="00D2375D"/>
    <w:rsid w:val="00D24843"/>
    <w:rsid w:val="00D338CA"/>
    <w:rsid w:val="00D33973"/>
    <w:rsid w:val="00D4314C"/>
    <w:rsid w:val="00D44BD9"/>
    <w:rsid w:val="00D54EF7"/>
    <w:rsid w:val="00D56A61"/>
    <w:rsid w:val="00D56FF6"/>
    <w:rsid w:val="00D6251C"/>
    <w:rsid w:val="00D67A3C"/>
    <w:rsid w:val="00D7350E"/>
    <w:rsid w:val="00D74A15"/>
    <w:rsid w:val="00D8024E"/>
    <w:rsid w:val="00D838F2"/>
    <w:rsid w:val="00D854C6"/>
    <w:rsid w:val="00D85E26"/>
    <w:rsid w:val="00D8691F"/>
    <w:rsid w:val="00D96A74"/>
    <w:rsid w:val="00DA3569"/>
    <w:rsid w:val="00DB6EBF"/>
    <w:rsid w:val="00DD0F68"/>
    <w:rsid w:val="00DD611D"/>
    <w:rsid w:val="00DE0F1C"/>
    <w:rsid w:val="00DE1B7D"/>
    <w:rsid w:val="00DE37A7"/>
    <w:rsid w:val="00DE4814"/>
    <w:rsid w:val="00DE656F"/>
    <w:rsid w:val="00DE76BA"/>
    <w:rsid w:val="00DF358A"/>
    <w:rsid w:val="00DF4407"/>
    <w:rsid w:val="00DF47D3"/>
    <w:rsid w:val="00DF7A7A"/>
    <w:rsid w:val="00E0199A"/>
    <w:rsid w:val="00E01B2E"/>
    <w:rsid w:val="00E0232E"/>
    <w:rsid w:val="00E03BBF"/>
    <w:rsid w:val="00E04CDB"/>
    <w:rsid w:val="00E06CB0"/>
    <w:rsid w:val="00E11354"/>
    <w:rsid w:val="00E1491F"/>
    <w:rsid w:val="00E17B1C"/>
    <w:rsid w:val="00E24C31"/>
    <w:rsid w:val="00E33AEF"/>
    <w:rsid w:val="00E371D3"/>
    <w:rsid w:val="00E40377"/>
    <w:rsid w:val="00E40976"/>
    <w:rsid w:val="00E448FD"/>
    <w:rsid w:val="00E50532"/>
    <w:rsid w:val="00E506AB"/>
    <w:rsid w:val="00E525B5"/>
    <w:rsid w:val="00E5371D"/>
    <w:rsid w:val="00E54A6A"/>
    <w:rsid w:val="00E55F72"/>
    <w:rsid w:val="00E579FE"/>
    <w:rsid w:val="00E659A9"/>
    <w:rsid w:val="00E706F6"/>
    <w:rsid w:val="00E76281"/>
    <w:rsid w:val="00E775D9"/>
    <w:rsid w:val="00E805FA"/>
    <w:rsid w:val="00E87597"/>
    <w:rsid w:val="00E8791D"/>
    <w:rsid w:val="00E97D27"/>
    <w:rsid w:val="00EA145B"/>
    <w:rsid w:val="00EA1E10"/>
    <w:rsid w:val="00EA3BB6"/>
    <w:rsid w:val="00EA4EC7"/>
    <w:rsid w:val="00EB36A7"/>
    <w:rsid w:val="00EB5C0C"/>
    <w:rsid w:val="00EB724F"/>
    <w:rsid w:val="00EB7A24"/>
    <w:rsid w:val="00EC1222"/>
    <w:rsid w:val="00EC15C1"/>
    <w:rsid w:val="00EC2247"/>
    <w:rsid w:val="00EC251C"/>
    <w:rsid w:val="00ED28DE"/>
    <w:rsid w:val="00ED2A78"/>
    <w:rsid w:val="00ED58E3"/>
    <w:rsid w:val="00ED5F5D"/>
    <w:rsid w:val="00ED6CAB"/>
    <w:rsid w:val="00ED6E9D"/>
    <w:rsid w:val="00EE0532"/>
    <w:rsid w:val="00EE1055"/>
    <w:rsid w:val="00EE582D"/>
    <w:rsid w:val="00EE76ED"/>
    <w:rsid w:val="00EF0B45"/>
    <w:rsid w:val="00F00216"/>
    <w:rsid w:val="00F02601"/>
    <w:rsid w:val="00F043E0"/>
    <w:rsid w:val="00F0544E"/>
    <w:rsid w:val="00F073C7"/>
    <w:rsid w:val="00F1214D"/>
    <w:rsid w:val="00F13E20"/>
    <w:rsid w:val="00F31AB6"/>
    <w:rsid w:val="00F33A69"/>
    <w:rsid w:val="00F36557"/>
    <w:rsid w:val="00F4549B"/>
    <w:rsid w:val="00F51205"/>
    <w:rsid w:val="00F52FA2"/>
    <w:rsid w:val="00F54689"/>
    <w:rsid w:val="00F5638B"/>
    <w:rsid w:val="00F61A3A"/>
    <w:rsid w:val="00F61D4B"/>
    <w:rsid w:val="00F62D33"/>
    <w:rsid w:val="00F64E76"/>
    <w:rsid w:val="00F67C26"/>
    <w:rsid w:val="00F74224"/>
    <w:rsid w:val="00F746A1"/>
    <w:rsid w:val="00F762EA"/>
    <w:rsid w:val="00F77610"/>
    <w:rsid w:val="00F7784A"/>
    <w:rsid w:val="00F77E8D"/>
    <w:rsid w:val="00F77F03"/>
    <w:rsid w:val="00F81093"/>
    <w:rsid w:val="00F83A05"/>
    <w:rsid w:val="00F86A3C"/>
    <w:rsid w:val="00F86C6E"/>
    <w:rsid w:val="00F92000"/>
    <w:rsid w:val="00F92DE4"/>
    <w:rsid w:val="00F9567C"/>
    <w:rsid w:val="00F97423"/>
    <w:rsid w:val="00FA7F8B"/>
    <w:rsid w:val="00FB44F5"/>
    <w:rsid w:val="00FB4B98"/>
    <w:rsid w:val="00FB61E7"/>
    <w:rsid w:val="00FC1B97"/>
    <w:rsid w:val="00FC61AF"/>
    <w:rsid w:val="00FC687F"/>
    <w:rsid w:val="00FC6944"/>
    <w:rsid w:val="00FD17AF"/>
    <w:rsid w:val="00FD1805"/>
    <w:rsid w:val="00FD290F"/>
    <w:rsid w:val="00FD4015"/>
    <w:rsid w:val="00FD4597"/>
    <w:rsid w:val="00FE0BB9"/>
    <w:rsid w:val="00FE271F"/>
    <w:rsid w:val="00FE31EA"/>
    <w:rsid w:val="00FE5C13"/>
    <w:rsid w:val="00FE798A"/>
    <w:rsid w:val="00FE7E09"/>
    <w:rsid w:val="00FF0DCC"/>
    <w:rsid w:val="00FF16D7"/>
    <w:rsid w:val="00FF470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B307D"/>
  <w15:docId w15:val="{AF7E629D-C551-4860-A130-EBBB2972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021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qFormat/>
    <w:rsid w:val="00131021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131021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31021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131021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131021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131021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rsid w:val="00131021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rsid w:val="00131021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rsid w:val="00131021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sid w:val="00131021"/>
    <w:rPr>
      <w:sz w:val="28"/>
    </w:rPr>
  </w:style>
  <w:style w:type="paragraph" w:styleId="Corpodeltesto2">
    <w:name w:val="Body Text 2"/>
    <w:basedOn w:val="Normale"/>
    <w:semiHidden/>
    <w:rsid w:val="00131021"/>
    <w:rPr>
      <w:sz w:val="26"/>
    </w:rPr>
  </w:style>
  <w:style w:type="paragraph" w:styleId="Titolo">
    <w:name w:val="Title"/>
    <w:basedOn w:val="Normale"/>
    <w:qFormat/>
    <w:rsid w:val="00131021"/>
    <w:pPr>
      <w:jc w:val="center"/>
    </w:pPr>
    <w:rPr>
      <w:i/>
      <w:sz w:val="26"/>
    </w:rPr>
  </w:style>
  <w:style w:type="paragraph" w:styleId="Sottotitolo">
    <w:name w:val="Subtitle"/>
    <w:basedOn w:val="Normale"/>
    <w:qFormat/>
    <w:rsid w:val="00131021"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sid w:val="00131021"/>
    <w:rPr>
      <w:color w:val="0000FF"/>
      <w:u w:val="single"/>
    </w:rPr>
  </w:style>
  <w:style w:type="paragraph" w:styleId="Mappadocumento">
    <w:name w:val="Document Map"/>
    <w:basedOn w:val="Normale"/>
    <w:semiHidden/>
    <w:rsid w:val="00131021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1310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31021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131021"/>
    <w:rPr>
      <w:i/>
    </w:rPr>
  </w:style>
  <w:style w:type="paragraph" w:customStyle="1" w:styleId="S2">
    <w:name w:val="S2"/>
    <w:basedOn w:val="Normale"/>
    <w:autoRedefine/>
    <w:rsid w:val="00131021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semiHidden/>
    <w:rsid w:val="00131021"/>
    <w:pPr>
      <w:jc w:val="left"/>
    </w:pPr>
    <w:rPr>
      <w:sz w:val="20"/>
    </w:rPr>
  </w:style>
  <w:style w:type="character" w:styleId="Rimandonotaapidipagina">
    <w:name w:val="footnote reference"/>
    <w:semiHidden/>
    <w:rsid w:val="00131021"/>
    <w:rPr>
      <w:vertAlign w:val="superscript"/>
    </w:rPr>
  </w:style>
  <w:style w:type="paragraph" w:styleId="Testodelblocco">
    <w:name w:val="Block Text"/>
    <w:basedOn w:val="Normale"/>
    <w:semiHidden/>
    <w:rsid w:val="00131021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131021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131021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rsid w:val="00131021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131021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131021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131021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131021"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rsid w:val="00131021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12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2AA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2A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2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2AAC"/>
    <w:rPr>
      <w:b/>
      <w:bCs/>
    </w:rPr>
  </w:style>
  <w:style w:type="paragraph" w:styleId="Revisione">
    <w:name w:val="Revision"/>
    <w:hidden/>
    <w:uiPriority w:val="99"/>
    <w:semiHidden/>
    <w:rsid w:val="00412AAC"/>
    <w:rPr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7423"/>
    <w:rPr>
      <w:color w:val="954F72" w:themeColor="followedHyperlink"/>
      <w:u w:val="single"/>
    </w:rPr>
  </w:style>
  <w:style w:type="paragraph" w:customStyle="1" w:styleId="Default">
    <w:name w:val="Default"/>
    <w:rsid w:val="00AB28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mti.it/wp-content/uploads/2025/10/nota-indice-ingrosso-set25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2338</CharactersWithSpaces>
  <SharedDoc>false</SharedDoc>
  <HLinks>
    <vt:vector size="6" baseType="variant"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Ufficio Stampa</dc:creator>
  <cp:lastModifiedBy>Simona Paronetto</cp:lastModifiedBy>
  <cp:revision>2</cp:revision>
  <cp:lastPrinted>2020-12-23T09:54:00Z</cp:lastPrinted>
  <dcterms:created xsi:type="dcterms:W3CDTF">2025-10-30T10:31:00Z</dcterms:created>
  <dcterms:modified xsi:type="dcterms:W3CDTF">2025-10-30T10:31:00Z</dcterms:modified>
</cp:coreProperties>
</file>