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A5D2CD" w14:textId="77777777" w:rsidR="00AF131F" w:rsidRDefault="00AF13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Calibri" w:eastAsia="Calibri" w:hAnsi="Calibri" w:cs="Calibri"/>
          <w:color w:val="000000"/>
          <w:szCs w:val="24"/>
        </w:rPr>
      </w:pPr>
    </w:p>
    <w:p w14:paraId="00950587" w14:textId="77777777" w:rsidR="00AF131F" w:rsidRDefault="00AF13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Calibri" w:eastAsia="Calibri" w:hAnsi="Calibri" w:cs="Calibri"/>
          <w:color w:val="000000"/>
          <w:szCs w:val="24"/>
        </w:rPr>
      </w:pPr>
    </w:p>
    <w:p w14:paraId="7001B3AD" w14:textId="77777777" w:rsidR="00AF131F" w:rsidRDefault="00AF13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Rasa" w:eastAsia="Rasa" w:hAnsi="Rasa" w:cs="Rasa"/>
          <w:color w:val="071D49"/>
          <w:szCs w:val="24"/>
        </w:rPr>
      </w:pPr>
    </w:p>
    <w:p w14:paraId="0C56F76D" w14:textId="77777777" w:rsidR="00AF131F" w:rsidRDefault="00C15F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Rasa" w:eastAsia="Rasa" w:hAnsi="Rasa" w:cs="Rasa"/>
          <w:color w:val="071D49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0BDE5A23" wp14:editId="6C3499FF">
            <wp:simplePos x="0" y="0"/>
            <wp:positionH relativeFrom="column">
              <wp:posOffset>-982343</wp:posOffset>
            </wp:positionH>
            <wp:positionV relativeFrom="paragraph">
              <wp:posOffset>-1395094</wp:posOffset>
            </wp:positionV>
            <wp:extent cx="7578090" cy="1554480"/>
            <wp:effectExtent l="0" t="0" r="0" b="0"/>
            <wp:wrapNone/>
            <wp:docPr id="103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554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5ECE1C" w14:textId="77777777" w:rsidR="00AF131F" w:rsidRDefault="00C15F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Calibri" w:eastAsia="Calibri" w:hAnsi="Calibri" w:cs="Calibri"/>
          <w:color w:val="000000"/>
          <w:szCs w:val="24"/>
        </w:rPr>
      </w:pPr>
      <w:r>
        <w:rPr>
          <w:rFonts w:ascii="Rasa" w:eastAsia="Rasa" w:hAnsi="Rasa" w:cs="Rasa"/>
          <w:color w:val="071D49"/>
          <w:szCs w:val="24"/>
        </w:rPr>
        <w:t>Comunicato stampa</w:t>
      </w:r>
    </w:p>
    <w:p w14:paraId="73160D3E" w14:textId="77777777" w:rsidR="00AF131F" w:rsidRDefault="00AF13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color w:val="000000"/>
          <w:sz w:val="32"/>
          <w:szCs w:val="32"/>
        </w:rPr>
      </w:pPr>
    </w:p>
    <w:p w14:paraId="3006F424" w14:textId="77777777" w:rsidR="00AF131F" w:rsidRDefault="00C15F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>Imprese di stranieri crescono: +1,7% in un anno</w:t>
      </w:r>
    </w:p>
    <w:p w14:paraId="15D0E338" w14:textId="77777777" w:rsidR="00AF131F" w:rsidRDefault="00C15F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i/>
          <w:color w:val="000000"/>
          <w:sz w:val="32"/>
          <w:szCs w:val="32"/>
        </w:rPr>
        <w:t>Sono 678mila e aumentano soprattutto al Nord</w:t>
      </w:r>
    </w:p>
    <w:p w14:paraId="09A9A287" w14:textId="77777777" w:rsidR="00AF131F" w:rsidRDefault="00AF13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Calibri" w:eastAsia="Calibri" w:hAnsi="Calibri" w:cs="Calibri"/>
          <w:color w:val="000000"/>
          <w:sz w:val="32"/>
          <w:szCs w:val="32"/>
        </w:rPr>
      </w:pPr>
    </w:p>
    <w:p w14:paraId="4BCCDDF3" w14:textId="6048A1D9" w:rsidR="00AF131F" w:rsidRDefault="00C15F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Cs w:val="24"/>
        </w:rPr>
      </w:pPr>
      <w:bookmarkStart w:id="0" w:name="_heading=h.jrr089gg406k" w:colFirst="0" w:colLast="0"/>
      <w:bookmarkEnd w:id="0"/>
      <w:r>
        <w:rPr>
          <w:rFonts w:ascii="Calibri" w:eastAsia="Calibri" w:hAnsi="Calibri" w:cs="Calibri"/>
          <w:color w:val="000000"/>
          <w:szCs w:val="24"/>
        </w:rPr>
        <w:t xml:space="preserve">Roma, </w:t>
      </w:r>
      <w:r w:rsidR="00385CE8">
        <w:rPr>
          <w:rFonts w:ascii="Calibri" w:eastAsia="Calibri" w:hAnsi="Calibri" w:cs="Calibri"/>
          <w:color w:val="000000"/>
          <w:szCs w:val="24"/>
        </w:rPr>
        <w:t>31</w:t>
      </w:r>
      <w:r>
        <w:rPr>
          <w:rFonts w:ascii="Calibri" w:eastAsia="Calibri" w:hAnsi="Calibri" w:cs="Calibri"/>
          <w:color w:val="000000"/>
          <w:szCs w:val="24"/>
        </w:rPr>
        <w:t xml:space="preserve"> ottobre 2025 – Imprese di stranieri crescono. A fine giugno 2025 sono 678mila, l’1,7% in più di giugno 2024. </w:t>
      </w:r>
      <w:sdt>
        <w:sdtPr>
          <w:tag w:val="goog_rdk_1"/>
          <w:id w:val="1220638293"/>
        </w:sdtPr>
        <w:sdtContent>
          <w:sdt>
            <w:sdtPr>
              <w:tag w:val="goog_rdk_2"/>
              <w:id w:val="101614356"/>
            </w:sdtPr>
            <w:sdtContent>
              <w:r w:rsidRPr="009D377F">
                <w:rPr>
                  <w:rFonts w:ascii="Calibri" w:eastAsia="Calibri" w:hAnsi="Calibri" w:cs="Calibri"/>
                  <w:szCs w:val="24"/>
                </w:rPr>
                <w:t>Nei primi sei mesi dell'anno</w:t>
              </w:r>
            </w:sdtContent>
          </w:sdt>
        </w:sdtContent>
      </w:sdt>
      <w:r>
        <w:rPr>
          <w:rFonts w:ascii="Calibri" w:eastAsia="Calibri" w:hAnsi="Calibri" w:cs="Calibri"/>
          <w:color w:val="000000"/>
          <w:szCs w:val="24"/>
        </w:rPr>
        <w:t xml:space="preserve"> le iscrizioni hanno sfiorato le 37mila unità (-267 rispetto al 2024) mentre 20.754 (-804) sono state le cessazioni. </w:t>
      </w:r>
      <w:sdt>
        <w:sdtPr>
          <w:tag w:val="goog_rdk_5"/>
          <w:id w:val="-790948870"/>
        </w:sdtPr>
        <w:sdtContent>
          <w:sdt>
            <w:sdtPr>
              <w:tag w:val="goog_rdk_6"/>
              <w:id w:val="979511000"/>
            </w:sdtPr>
            <w:sdtContent>
              <w:r w:rsidRPr="009D377F">
                <w:rPr>
                  <w:rFonts w:ascii="Calibri" w:eastAsia="Calibri" w:hAnsi="Calibri" w:cs="Calibri"/>
                  <w:szCs w:val="24"/>
                </w:rPr>
                <w:t>Il saldo positivo supera le 16mila imprese.</w:t>
              </w:r>
            </w:sdtContent>
          </w:sdt>
        </w:sdtContent>
      </w:sdt>
      <w:r w:rsidR="009D377F">
        <w:t xml:space="preserve"> </w:t>
      </w:r>
      <w:r>
        <w:rPr>
          <w:rFonts w:ascii="Calibri" w:eastAsia="Calibri" w:hAnsi="Calibri" w:cs="Calibri"/>
          <w:color w:val="000000"/>
          <w:szCs w:val="24"/>
        </w:rPr>
        <w:t>A mostrarlo è il report semestrale</w:t>
      </w:r>
      <w:r w:rsidR="00986CEE">
        <w:rPr>
          <w:rFonts w:ascii="Calibri" w:eastAsia="Calibri" w:hAnsi="Calibri" w:cs="Calibri"/>
          <w:color w:val="000000"/>
          <w:szCs w:val="24"/>
        </w:rPr>
        <w:t xml:space="preserve"> </w:t>
      </w:r>
      <w:r w:rsidR="002025EB">
        <w:rPr>
          <w:rFonts w:ascii="Calibri" w:eastAsia="Calibri" w:hAnsi="Calibri" w:cs="Calibri"/>
          <w:color w:val="000000"/>
          <w:szCs w:val="24"/>
        </w:rPr>
        <w:t xml:space="preserve">realizzato </w:t>
      </w:r>
      <w:r>
        <w:rPr>
          <w:rFonts w:ascii="Calibri" w:eastAsia="Calibri" w:hAnsi="Calibri" w:cs="Calibri"/>
          <w:color w:val="000000"/>
          <w:szCs w:val="24"/>
        </w:rPr>
        <w:t xml:space="preserve">nell’ambito del progetto </w:t>
      </w:r>
      <w:hyperlink r:id="rId9">
        <w:r>
          <w:rPr>
            <w:rFonts w:ascii="Calibri" w:eastAsia="Calibri" w:hAnsi="Calibri" w:cs="Calibri"/>
            <w:color w:val="0000FF"/>
            <w:szCs w:val="24"/>
            <w:u w:val="single"/>
          </w:rPr>
          <w:t>Futurae</w:t>
        </w:r>
        <w:r w:rsidR="003D5BF6">
          <w:rPr>
            <w:rFonts w:ascii="Calibri" w:eastAsia="Calibri" w:hAnsi="Calibri" w:cs="Calibri"/>
            <w:color w:val="0000FF"/>
            <w:szCs w:val="24"/>
            <w:u w:val="single"/>
          </w:rPr>
          <w:t xml:space="preserve"> -</w:t>
        </w:r>
        <w:r>
          <w:rPr>
            <w:rFonts w:ascii="Calibri" w:eastAsia="Calibri" w:hAnsi="Calibri" w:cs="Calibri"/>
            <w:color w:val="0000FF"/>
            <w:szCs w:val="24"/>
            <w:u w:val="single"/>
          </w:rPr>
          <w:t xml:space="preserve"> Programma Imprese Migranti (qui maggiori informazioni)</w:t>
        </w:r>
      </w:hyperlink>
      <w:r>
        <w:rPr>
          <w:rFonts w:ascii="Calibri" w:eastAsia="Calibri" w:hAnsi="Calibri" w:cs="Calibri"/>
          <w:color w:val="000000"/>
          <w:szCs w:val="24"/>
        </w:rPr>
        <w:t xml:space="preserve">, nato dalla collaborazione tra MLPS e Unioncamere e finanziato dal Fondo Nazionale per le Politiche Migratorie. </w:t>
      </w:r>
    </w:p>
    <w:p w14:paraId="0D6B8301" w14:textId="004A8C18" w:rsidR="00AF131F" w:rsidRDefault="00986C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Cs w:val="24"/>
        </w:rPr>
      </w:pPr>
      <w:r>
        <w:rPr>
          <w:rFonts w:ascii="Calibri" w:eastAsia="Calibri" w:hAnsi="Calibri" w:cs="Calibri"/>
          <w:color w:val="000000"/>
          <w:szCs w:val="24"/>
        </w:rPr>
        <w:t>Se</w:t>
      </w:r>
      <w:r w:rsidR="00161ADC">
        <w:rPr>
          <w:rFonts w:ascii="Calibri" w:eastAsia="Calibri" w:hAnsi="Calibri" w:cs="Calibri"/>
          <w:color w:val="000000"/>
          <w:szCs w:val="24"/>
        </w:rPr>
        <w:t xml:space="preserve">condo il report </w:t>
      </w:r>
      <w:r w:rsidR="003D5BF6">
        <w:rPr>
          <w:rFonts w:ascii="Calibri" w:eastAsia="Calibri" w:hAnsi="Calibri" w:cs="Calibri"/>
          <w:color w:val="000000"/>
          <w:szCs w:val="24"/>
        </w:rPr>
        <w:t>curato da InfoC</w:t>
      </w:r>
      <w:r w:rsidR="00161ADC">
        <w:rPr>
          <w:rFonts w:ascii="Calibri" w:eastAsia="Calibri" w:hAnsi="Calibri" w:cs="Calibri"/>
          <w:color w:val="000000"/>
          <w:szCs w:val="24"/>
        </w:rPr>
        <w:t xml:space="preserve">amere - che ha realizzato anche la </w:t>
      </w:r>
      <w:hyperlink r:id="rId10" w:history="1">
        <w:r w:rsidR="00161ADC" w:rsidRPr="00161ADC">
          <w:rPr>
            <w:rStyle w:val="Collegamentoipertestuale"/>
            <w:rFonts w:ascii="Calibri" w:eastAsia="Calibri" w:hAnsi="Calibri" w:cs="Calibri"/>
            <w:szCs w:val="24"/>
          </w:rPr>
          <w:t>Dashboard interattiva</w:t>
        </w:r>
      </w:hyperlink>
      <w:r w:rsidR="00161ADC">
        <w:rPr>
          <w:rFonts w:ascii="Calibri" w:eastAsia="Calibri" w:hAnsi="Calibri" w:cs="Calibri"/>
          <w:color w:val="000000"/>
          <w:szCs w:val="24"/>
        </w:rPr>
        <w:t xml:space="preserve"> da cui consultare i dati principali - </w:t>
      </w:r>
      <w:r>
        <w:rPr>
          <w:rFonts w:ascii="Calibri" w:eastAsia="Calibri" w:hAnsi="Calibri" w:cs="Calibri"/>
          <w:color w:val="000000"/>
          <w:szCs w:val="24"/>
        </w:rPr>
        <w:t xml:space="preserve"> a</w:t>
      </w:r>
      <w:r w:rsidR="00C15FB3">
        <w:rPr>
          <w:rFonts w:ascii="Calibri" w:eastAsia="Calibri" w:hAnsi="Calibri" w:cs="Calibri"/>
          <w:color w:val="000000"/>
          <w:szCs w:val="24"/>
        </w:rPr>
        <w:t xml:space="preserve"> trainare l'imprenditoria straniera</w:t>
      </w:r>
      <w:sdt>
        <w:sdtPr>
          <w:tag w:val="goog_rdk_9"/>
          <w:id w:val="-1450579012"/>
        </w:sdtPr>
        <w:sdtContent>
          <w:r w:rsidR="00C15FB3">
            <w:rPr>
              <w:rFonts w:ascii="Calibri" w:eastAsia="Calibri" w:hAnsi="Calibri" w:cs="Calibri"/>
              <w:color w:val="000000"/>
              <w:szCs w:val="24"/>
              <w:vertAlign w:val="superscript"/>
            </w:rPr>
            <w:footnoteReference w:id="1"/>
          </w:r>
        </w:sdtContent>
      </w:sdt>
      <w:r w:rsidR="00C15FB3">
        <w:rPr>
          <w:rFonts w:ascii="Calibri" w:eastAsia="Calibri" w:hAnsi="Calibri" w:cs="Calibri"/>
          <w:color w:val="000000"/>
          <w:szCs w:val="24"/>
        </w:rPr>
        <w:t xml:space="preserve"> nel primo semestre 2025 sono state le costruzioni e l’agricoltura (+3,2% e +3,7% su base annua), che rappresentano rispettivamente il 25% e il 3% del totale. </w:t>
      </w:r>
      <w:sdt>
        <w:sdtPr>
          <w:tag w:val="goog_rdk_10"/>
          <w:id w:val="1309066564"/>
        </w:sdtPr>
        <w:sdtContent>
          <w:sdt>
            <w:sdtPr>
              <w:tag w:val="goog_rdk_11"/>
              <w:id w:val="593201966"/>
            </w:sdtPr>
            <w:sdtContent>
              <w:r w:rsidR="00C15FB3" w:rsidRPr="009D377F">
                <w:rPr>
                  <w:rFonts w:ascii="Calibri" w:eastAsia="Calibri" w:hAnsi="Calibri" w:cs="Calibri"/>
                  <w:szCs w:val="24"/>
                </w:rPr>
                <w:t>Il commercio resta il settore più rappresentativo con 275mila imprese e segna un lieve recupero (+0,1%). In crescita anche l'industria manifatturiera (+1,1%), dove operano oltre 50mila imprese straniere.</w:t>
              </w:r>
            </w:sdtContent>
          </w:sdt>
        </w:sdtContent>
      </w:sdt>
      <w:sdt>
        <w:sdtPr>
          <w:tag w:val="goog_rdk_12"/>
          <w:id w:val="220332452"/>
        </w:sdtPr>
        <w:sdtContent>
          <w:sdt>
            <w:sdtPr>
              <w:tag w:val="goog_rdk_13"/>
              <w:id w:val="-217842098"/>
              <w:showingPlcHdr/>
            </w:sdtPr>
            <w:sdtContent>
              <w:r w:rsidR="009D377F">
                <w:t xml:space="preserve">     </w:t>
              </w:r>
            </w:sdtContent>
          </w:sdt>
        </w:sdtContent>
      </w:sdt>
    </w:p>
    <w:p w14:paraId="708D7B07" w14:textId="4A6EFF3D" w:rsidR="00AF131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Cs w:val="24"/>
        </w:rPr>
      </w:pPr>
      <w:sdt>
        <w:sdtPr>
          <w:tag w:val="goog_rdk_15"/>
          <w:id w:val="995843587"/>
          <w:showingPlcHdr/>
        </w:sdtPr>
        <w:sdtContent>
          <w:r w:rsidR="00161ADC">
            <w:t xml:space="preserve">     </w:t>
          </w:r>
        </w:sdtContent>
      </w:sdt>
      <w:sdt>
        <w:sdtPr>
          <w:tag w:val="goog_rdk_16"/>
          <w:id w:val="-1265612240"/>
        </w:sdtPr>
        <w:sdtContent>
          <w:r w:rsidR="00C15FB3">
            <w:rPr>
              <w:rFonts w:ascii="Calibri" w:eastAsia="Calibri" w:hAnsi="Calibri" w:cs="Calibri"/>
              <w:color w:val="000000"/>
              <w:szCs w:val="24"/>
            </w:rPr>
            <w:t xml:space="preserve">È </w:t>
          </w:r>
        </w:sdtContent>
      </w:sdt>
      <w:r w:rsidR="00C15FB3">
        <w:rPr>
          <w:rFonts w:ascii="Calibri" w:eastAsia="Calibri" w:hAnsi="Calibri" w:cs="Calibri"/>
          <w:color w:val="000000"/>
          <w:szCs w:val="24"/>
        </w:rPr>
        <w:t xml:space="preserve">una imprenditoria che si rafforza anche strutturalmente quella straniera in Italia. Infatti, </w:t>
      </w:r>
      <w:sdt>
        <w:sdtPr>
          <w:tag w:val="goog_rdk_17"/>
          <w:id w:val="-2092299148"/>
          <w:showingPlcHdr/>
        </w:sdtPr>
        <w:sdtContent>
          <w:r w:rsidR="009D377F">
            <w:t xml:space="preserve">     </w:t>
          </w:r>
        </w:sdtContent>
      </w:sdt>
      <w:sdt>
        <w:sdtPr>
          <w:tag w:val="goog_rdk_18"/>
          <w:id w:val="995472946"/>
        </w:sdtPr>
        <w:sdtContent>
          <w:r w:rsidR="00C15FB3">
            <w:rPr>
              <w:rFonts w:ascii="Calibri" w:eastAsia="Calibri" w:hAnsi="Calibri" w:cs="Calibri"/>
              <w:color w:val="000000"/>
              <w:szCs w:val="24"/>
            </w:rPr>
            <w:t xml:space="preserve">la crescita </w:t>
          </w:r>
        </w:sdtContent>
      </w:sdt>
      <w:r w:rsidR="00C15FB3">
        <w:rPr>
          <w:rFonts w:ascii="Calibri" w:eastAsia="Calibri" w:hAnsi="Calibri" w:cs="Calibri"/>
          <w:color w:val="000000"/>
          <w:szCs w:val="24"/>
        </w:rPr>
        <w:t xml:space="preserve">è generato soprattutto dalle società di capitale, che nell’ultimo anno sono aumentate dell’11,4%, superando quota 147mila, a fronte di una tenuta delle imprese individuali, che rappresentano tuttavia il 72% del totale. </w:t>
      </w:r>
    </w:p>
    <w:p w14:paraId="7EB5A82F" w14:textId="77777777" w:rsidR="00AF131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Cs w:val="24"/>
        </w:rPr>
      </w:pPr>
      <w:sdt>
        <w:sdtPr>
          <w:tag w:val="goog_rdk_20"/>
          <w:id w:val="-563546767"/>
        </w:sdtPr>
        <w:sdtContent>
          <w:sdt>
            <w:sdtPr>
              <w:tag w:val="goog_rdk_21"/>
              <w:id w:val="-1090319130"/>
            </w:sdtPr>
            <w:sdtContent>
              <w:r w:rsidR="00C15FB3" w:rsidRPr="009D377F">
                <w:rPr>
                  <w:rFonts w:ascii="Calibri" w:eastAsia="Calibri" w:hAnsi="Calibri" w:cs="Calibri"/>
                  <w:szCs w:val="24"/>
                </w:rPr>
                <w:t>Gli imprenditori stranieri scelgono soprattutto il Nord Ovest, dove si concentra il 32% delle imprese straniere in Italia.</w:t>
              </w:r>
            </w:sdtContent>
          </w:sdt>
        </w:sdtContent>
      </w:sdt>
      <w:r w:rsidR="009D377F">
        <w:t xml:space="preserve"> </w:t>
      </w:r>
      <w:r w:rsidR="00C15FB3">
        <w:rPr>
          <w:rFonts w:ascii="Calibri" w:eastAsia="Calibri" w:hAnsi="Calibri" w:cs="Calibri"/>
          <w:color w:val="000000"/>
          <w:szCs w:val="24"/>
        </w:rPr>
        <w:t>Le regioni nord occidentali mostrano infatti la crescita più sostenuta su base annua (+3,6%), superiore a quella del Nord Est (+2,8%). Lieve calo invece nel Mezzogiorno (-0,5%) e sostanziale stabilità al Centro (+0,3%), che detengono rispettivamente la maggiore e la minore incidenza</w:t>
      </w:r>
      <w:sdt>
        <w:sdtPr>
          <w:tag w:val="goog_rdk_24"/>
          <w:id w:val="1841001780"/>
        </w:sdtPr>
        <w:sdtContent>
          <w:r w:rsidR="00C15FB3">
            <w:rPr>
              <w:rFonts w:ascii="Calibri" w:eastAsia="Calibri" w:hAnsi="Calibri" w:cs="Calibri"/>
              <w:color w:val="000000"/>
              <w:szCs w:val="24"/>
            </w:rPr>
            <w:t xml:space="preserve"> della componente straniera</w:t>
          </w:r>
        </w:sdtContent>
      </w:sdt>
      <w:r w:rsidR="00C15FB3">
        <w:rPr>
          <w:rFonts w:ascii="Calibri" w:eastAsia="Calibri" w:hAnsi="Calibri" w:cs="Calibri"/>
          <w:color w:val="000000"/>
          <w:szCs w:val="24"/>
        </w:rPr>
        <w:t xml:space="preserve"> sul totale delle imprese.</w:t>
      </w:r>
    </w:p>
    <w:p w14:paraId="1A0221F7" w14:textId="77777777" w:rsidR="00AF131F" w:rsidRDefault="00C15F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Cs w:val="24"/>
        </w:rPr>
      </w:pPr>
      <w:r>
        <w:rPr>
          <w:rFonts w:ascii="Calibri" w:eastAsia="Calibri" w:hAnsi="Calibri" w:cs="Calibri"/>
          <w:color w:val="000000"/>
          <w:szCs w:val="24"/>
        </w:rPr>
        <w:t xml:space="preserve">Prato si conferma la provincia con la maggior incidenza di imprese straniere (32,7%), seguita da Trieste (20%). Imperia (18,2%) </w:t>
      </w:r>
      <w:sdt>
        <w:sdtPr>
          <w:tag w:val="goog_rdk_25"/>
          <w:id w:val="-937543833"/>
        </w:sdtPr>
        <w:sdtContent/>
      </w:sdt>
      <w:r w:rsidR="009D377F">
        <w:rPr>
          <w:rFonts w:ascii="Calibri" w:eastAsia="Calibri" w:hAnsi="Calibri" w:cs="Calibri"/>
          <w:color w:val="000000"/>
          <w:szCs w:val="24"/>
        </w:rPr>
        <w:t>prende</w:t>
      </w:r>
      <w:r>
        <w:rPr>
          <w:rFonts w:ascii="Calibri" w:eastAsia="Calibri" w:hAnsi="Calibri" w:cs="Calibri"/>
          <w:color w:val="000000"/>
          <w:szCs w:val="24"/>
        </w:rPr>
        <w:t xml:space="preserve"> il terzo posto </w:t>
      </w:r>
      <w:r w:rsidR="009D377F">
        <w:rPr>
          <w:rFonts w:ascii="Calibri" w:eastAsia="Calibri" w:hAnsi="Calibri" w:cs="Calibri"/>
          <w:color w:val="000000"/>
          <w:szCs w:val="24"/>
        </w:rPr>
        <w:t>sostituendosi a</w:t>
      </w:r>
      <w:r>
        <w:rPr>
          <w:rFonts w:ascii="Calibri" w:eastAsia="Calibri" w:hAnsi="Calibri" w:cs="Calibri"/>
          <w:color w:val="000000"/>
          <w:szCs w:val="24"/>
        </w:rPr>
        <w:t xml:space="preserve"> Firenze (18,1%). All’estremo opposto, Barletta-Andria-Trani è la provincia con la minore incidenza, ultima nella classifica composta da sole province del Mezzogiorno.</w:t>
      </w:r>
    </w:p>
    <w:p w14:paraId="7B2E2040" w14:textId="6E63D39D" w:rsidR="003D5BF6" w:rsidRDefault="00000000" w:rsidP="003D5B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Cs w:val="24"/>
        </w:rPr>
      </w:pPr>
      <w:sdt>
        <w:sdtPr>
          <w:tag w:val="goog_rdk_27"/>
          <w:id w:val="-1898831199"/>
        </w:sdtPr>
        <w:sdtContent>
          <w:sdt>
            <w:sdtPr>
              <w:tag w:val="goog_rdk_28"/>
              <w:id w:val="-1232135482"/>
            </w:sdtPr>
            <w:sdtContent>
              <w:r w:rsidR="00C15FB3" w:rsidRPr="009D377F">
                <w:rPr>
                  <w:rFonts w:ascii="Calibri" w:eastAsia="Calibri" w:hAnsi="Calibri" w:cs="Calibri"/>
                  <w:szCs w:val="24"/>
                </w:rPr>
                <w:t>Analizzando le</w:t>
              </w:r>
            </w:sdtContent>
          </w:sdt>
        </w:sdtContent>
      </w:sdt>
      <w:r w:rsidR="009D377F">
        <w:t xml:space="preserve"> </w:t>
      </w:r>
      <w:r w:rsidR="00C15FB3">
        <w:rPr>
          <w:rFonts w:ascii="Calibri" w:eastAsia="Calibri" w:hAnsi="Calibri" w:cs="Calibri"/>
          <w:color w:val="000000"/>
          <w:szCs w:val="24"/>
        </w:rPr>
        <w:t>sole imprese individuali</w:t>
      </w:r>
      <w:sdt>
        <w:sdtPr>
          <w:tag w:val="goog_rdk_31"/>
          <w:id w:val="27609439"/>
        </w:sdtPr>
        <w:sdtContent>
          <w:r w:rsidR="00C15FB3">
            <w:rPr>
              <w:rFonts w:ascii="Calibri" w:eastAsia="Calibri" w:hAnsi="Calibri" w:cs="Calibri"/>
              <w:color w:val="000000"/>
              <w:szCs w:val="24"/>
            </w:rPr>
            <w:t xml:space="preserve"> – le uniche per le quali è possibile stabilire una coincidenza con il Paese di origine del titolare - </w:t>
          </w:r>
        </w:sdtContent>
      </w:sdt>
      <w:r w:rsidR="00C15FB3">
        <w:rPr>
          <w:rFonts w:ascii="Calibri" w:eastAsia="Calibri" w:hAnsi="Calibri" w:cs="Calibri"/>
          <w:color w:val="000000"/>
          <w:szCs w:val="24"/>
        </w:rPr>
        <w:t xml:space="preserve"> emerge che Marocco, Romania e Cina sono </w:t>
      </w:r>
      <w:r w:rsidR="00C15FB3">
        <w:rPr>
          <w:rFonts w:ascii="Calibri" w:eastAsia="Calibri" w:hAnsi="Calibri" w:cs="Calibri"/>
          <w:color w:val="000000"/>
          <w:szCs w:val="24"/>
        </w:rPr>
        <w:lastRenderedPageBreak/>
        <w:t xml:space="preserve">i principali Paesi </w:t>
      </w:r>
      <w:sdt>
        <w:sdtPr>
          <w:tag w:val="goog_rdk_34"/>
          <w:id w:val="942572482"/>
        </w:sdtPr>
        <w:sdtContent>
          <w:r w:rsidR="00C15FB3">
            <w:rPr>
              <w:rFonts w:ascii="Calibri" w:eastAsia="Calibri" w:hAnsi="Calibri" w:cs="Calibri"/>
              <w:color w:val="000000"/>
              <w:szCs w:val="24"/>
            </w:rPr>
            <w:t>di provenienza dell’imprenditoria straniera in Italia</w:t>
          </w:r>
        </w:sdtContent>
      </w:sdt>
      <w:r w:rsidR="00C15FB3">
        <w:rPr>
          <w:rFonts w:ascii="Calibri" w:eastAsia="Calibri" w:hAnsi="Calibri" w:cs="Calibri"/>
          <w:color w:val="000000"/>
          <w:szCs w:val="24"/>
        </w:rPr>
        <w:t xml:space="preserve"> (34% del totale), seguiti da Albania, Bangladesh e Pakistan (19%) e quindi da Egitto, Nigeria e Senegal (11%). </w:t>
      </w:r>
      <w:sdt>
        <w:sdtPr>
          <w:tag w:val="goog_rdk_35"/>
          <w:id w:val="2142449848"/>
        </w:sdtPr>
        <w:sdtContent>
          <w:sdt>
            <w:sdtPr>
              <w:tag w:val="goog_rdk_36"/>
              <w:id w:val="-1344302878"/>
            </w:sdtPr>
            <w:sdtContent>
              <w:r w:rsidR="00C15FB3" w:rsidRPr="009D377F">
                <w:rPr>
                  <w:rFonts w:ascii="Calibri" w:eastAsia="Calibri" w:hAnsi="Calibri" w:cs="Calibri"/>
                  <w:szCs w:val="24"/>
                </w:rPr>
                <w:t>Le preferenze sono marcate sia per localizzazione che per settori.</w:t>
              </w:r>
            </w:sdtContent>
          </w:sdt>
        </w:sdtContent>
      </w:sdt>
      <w:sdt>
        <w:sdtPr>
          <w:tag w:val="goog_rdk_37"/>
          <w:id w:val="-1931801983"/>
        </w:sdtPr>
        <w:sdtContent>
          <w:sdt>
            <w:sdtPr>
              <w:tag w:val="goog_rdk_38"/>
              <w:id w:val="76243058"/>
              <w:showingPlcHdr/>
            </w:sdtPr>
            <w:sdtContent>
              <w:r w:rsidR="009D377F">
                <w:t xml:space="preserve">     </w:t>
              </w:r>
            </w:sdtContent>
          </w:sdt>
        </w:sdtContent>
      </w:sdt>
      <w:sdt>
        <w:sdtPr>
          <w:tag w:val="goog_rdk_39"/>
          <w:id w:val="-519971494"/>
        </w:sdtPr>
        <w:sdtContent>
          <w:sdt>
            <w:sdtPr>
              <w:tag w:val="goog_rdk_40"/>
              <w:id w:val="-860147241"/>
            </w:sdtPr>
            <w:sdtContent/>
          </w:sdt>
          <w:sdt>
            <w:sdtPr>
              <w:tag w:val="goog_rdk_41"/>
              <w:id w:val="-88429575"/>
              <w:showingPlcHdr/>
            </w:sdtPr>
            <w:sdtContent>
              <w:r w:rsidR="009D377F">
                <w:t xml:space="preserve">     </w:t>
              </w:r>
            </w:sdtContent>
          </w:sdt>
        </w:sdtContent>
      </w:sdt>
      <w:sdt>
        <w:sdtPr>
          <w:tag w:val="goog_rdk_42"/>
          <w:id w:val="2105546434"/>
        </w:sdtPr>
        <w:sdtContent>
          <w:sdt>
            <w:sdtPr>
              <w:tag w:val="goog_rdk_43"/>
              <w:id w:val="-275443628"/>
              <w:showingPlcHdr/>
            </w:sdtPr>
            <w:sdtContent>
              <w:r w:rsidR="009D377F">
                <w:t xml:space="preserve">     </w:t>
              </w:r>
            </w:sdtContent>
          </w:sdt>
        </w:sdtContent>
      </w:sdt>
      <w:r w:rsidR="00C15FB3">
        <w:rPr>
          <w:rFonts w:ascii="Calibri" w:eastAsia="Calibri" w:hAnsi="Calibri" w:cs="Calibri"/>
          <w:color w:val="000000"/>
          <w:szCs w:val="24"/>
        </w:rPr>
        <w:t xml:space="preserve"> </w:t>
      </w:r>
    </w:p>
    <w:p w14:paraId="7C960D0F" w14:textId="54740077" w:rsidR="00AF131F" w:rsidRDefault="00C15F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Cs w:val="24"/>
        </w:rPr>
      </w:pPr>
      <w:r>
        <w:rPr>
          <w:rFonts w:ascii="Calibri" w:eastAsia="Calibri" w:hAnsi="Calibri" w:cs="Calibri"/>
          <w:color w:val="000000"/>
          <w:szCs w:val="24"/>
        </w:rPr>
        <w:t xml:space="preserve">I </w:t>
      </w:r>
      <w:r w:rsidR="003D5BF6">
        <w:rPr>
          <w:rFonts w:ascii="Calibri" w:eastAsia="Calibri" w:hAnsi="Calibri" w:cs="Calibri"/>
          <w:color w:val="000000"/>
          <w:szCs w:val="24"/>
        </w:rPr>
        <w:t>nati in Marocco</w:t>
      </w:r>
      <w:r>
        <w:rPr>
          <w:rFonts w:ascii="Calibri" w:eastAsia="Calibri" w:hAnsi="Calibri" w:cs="Calibri"/>
          <w:color w:val="000000"/>
          <w:szCs w:val="24"/>
        </w:rPr>
        <w:t xml:space="preserve"> vantano la massima incidenza nelle province dello Stretto (Catanzaro, Reggio Calabria e Messina) e operano in prevalenza nel commercio (21,6%) . I romeni, molto presenti nelle costruzioni (22%), raggiungono la massima incidenza a Viterbo, Torino, Cremona. I cinesi invece mostrano un’elevata incidenza e concentrazione in Toscana (Prato con il primato assoluto del 68% e Firenze con 27%) ma anche nelle Marche (Fermo con 29%) e una forte concentrazione nel manifatturiero e nei servizi ricreativi e di intrattenimento. </w:t>
      </w:r>
    </w:p>
    <w:p w14:paraId="237FE59F" w14:textId="77777777" w:rsidR="00AF131F" w:rsidRDefault="00AF13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Cs w:val="24"/>
        </w:rPr>
      </w:pPr>
    </w:p>
    <w:p w14:paraId="0DA0E2A4" w14:textId="734F2103" w:rsidR="00AF131F" w:rsidRDefault="00C15FB3" w:rsidP="00DC28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rPr>
          <w:color w:val="000000"/>
          <w:szCs w:val="24"/>
        </w:rPr>
      </w:pPr>
      <w:r>
        <w:rPr>
          <w:noProof/>
          <w:color w:val="000000"/>
          <w:szCs w:val="24"/>
        </w:rPr>
        <w:drawing>
          <wp:inline distT="0" distB="0" distL="114300" distR="114300" wp14:anchorId="3904CF10" wp14:editId="5FA06095">
            <wp:extent cx="5364480" cy="3095625"/>
            <wp:effectExtent l="0" t="0" r="7620" b="9525"/>
            <wp:docPr id="103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3095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23653F" w14:textId="77777777" w:rsidR="00AF131F" w:rsidRDefault="00AF13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Cs w:val="24"/>
        </w:rPr>
      </w:pPr>
    </w:p>
    <w:p w14:paraId="4F1C40E4" w14:textId="01D56E80" w:rsidR="00AF131F" w:rsidRDefault="00C15F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Cs w:val="24"/>
        </w:rPr>
      </w:pPr>
      <w:r>
        <w:rPr>
          <w:rFonts w:ascii="Calibri" w:eastAsia="Calibri" w:hAnsi="Calibri" w:cs="Calibri"/>
          <w:noProof/>
          <w:color w:val="000000"/>
          <w:szCs w:val="24"/>
        </w:rPr>
        <w:drawing>
          <wp:inline distT="0" distB="0" distL="114300" distR="114300" wp14:anchorId="7358DCB8" wp14:editId="36E40B3A">
            <wp:extent cx="5276850" cy="2971800"/>
            <wp:effectExtent l="0" t="0" r="0" b="0"/>
            <wp:docPr id="103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FCCD55" w14:textId="77777777" w:rsidR="006D0306" w:rsidRDefault="006D03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Cs w:val="24"/>
        </w:rPr>
      </w:pPr>
    </w:p>
    <w:p w14:paraId="7FD2F2DA" w14:textId="77777777" w:rsidR="00DC285B" w:rsidRDefault="006D03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hAnsiTheme="majorHAnsi" w:cstheme="majorHAnsi"/>
          <w:i/>
          <w:position w:val="0"/>
          <w:sz w:val="20"/>
        </w:rPr>
      </w:pPr>
      <w:r w:rsidRPr="006D0306">
        <w:rPr>
          <w:rFonts w:asciiTheme="majorHAnsi" w:hAnsiTheme="majorHAnsi" w:cstheme="majorHAnsi"/>
          <w:i/>
          <w:position w:val="0"/>
          <w:sz w:val="20"/>
        </w:rPr>
        <w:t xml:space="preserve">Fonte: Ministero del Lavoro e delle Politiche Sociali - Futurae </w:t>
      </w:r>
      <w:r w:rsidR="00DC285B">
        <w:rPr>
          <w:rFonts w:asciiTheme="majorHAnsi" w:hAnsiTheme="majorHAnsi" w:cstheme="majorHAnsi"/>
          <w:i/>
          <w:position w:val="0"/>
          <w:sz w:val="20"/>
        </w:rPr>
        <w:t>–</w:t>
      </w:r>
      <w:r w:rsidRPr="006D0306">
        <w:rPr>
          <w:rFonts w:asciiTheme="majorHAnsi" w:hAnsiTheme="majorHAnsi" w:cstheme="majorHAnsi"/>
          <w:i/>
          <w:position w:val="0"/>
          <w:sz w:val="20"/>
        </w:rPr>
        <w:t xml:space="preserve"> Unioncamere</w:t>
      </w:r>
      <w:r w:rsidR="00DC285B">
        <w:rPr>
          <w:rFonts w:asciiTheme="majorHAnsi" w:hAnsiTheme="majorHAnsi" w:cstheme="majorHAnsi"/>
          <w:i/>
          <w:position w:val="0"/>
          <w:sz w:val="20"/>
        </w:rPr>
        <w:t xml:space="preserve">. </w:t>
      </w:r>
    </w:p>
    <w:p w14:paraId="0214A0EF" w14:textId="3BF71DCE" w:rsidR="006D0306" w:rsidRDefault="00DC28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hAnsiTheme="majorHAnsi" w:cstheme="majorHAnsi"/>
          <w:i/>
          <w:position w:val="0"/>
          <w:sz w:val="20"/>
        </w:rPr>
      </w:pPr>
      <w:r>
        <w:rPr>
          <w:rFonts w:asciiTheme="majorHAnsi" w:hAnsiTheme="majorHAnsi" w:cstheme="majorHAnsi"/>
          <w:i/>
          <w:position w:val="0"/>
          <w:sz w:val="20"/>
        </w:rPr>
        <w:t>“L’mprenditoria straniera in Italia – Report I semestre 2025”</w:t>
      </w:r>
    </w:p>
    <w:p w14:paraId="123F2AE6" w14:textId="1C5D82D6" w:rsidR="00DC285B" w:rsidRDefault="00DC28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hAnsiTheme="majorHAnsi" w:cstheme="majorHAnsi"/>
          <w:i/>
          <w:position w:val="0"/>
          <w:sz w:val="20"/>
        </w:rPr>
      </w:pPr>
    </w:p>
    <w:p w14:paraId="4A7117F2" w14:textId="77777777" w:rsidR="00DC285B" w:rsidRDefault="00DC28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hAnsiTheme="majorHAnsi" w:cstheme="majorHAnsi"/>
          <w:i/>
          <w:position w:val="0"/>
          <w:sz w:val="20"/>
        </w:rPr>
        <w:sectPr w:rsidR="00DC285B" w:rsidSect="003D5BF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4" w:right="1559" w:bottom="1134" w:left="1559" w:header="720" w:footer="964" w:gutter="0"/>
          <w:pgNumType w:start="1"/>
          <w:cols w:space="720"/>
        </w:sectPr>
      </w:pPr>
    </w:p>
    <w:p w14:paraId="09F25BF9" w14:textId="786627DF" w:rsidR="00AF131F" w:rsidRPr="006D0306" w:rsidRDefault="00AF13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eastAsia="Calibri" w:hAnsiTheme="majorHAnsi" w:cstheme="majorHAnsi"/>
          <w:i/>
          <w:color w:val="000000"/>
          <w:sz w:val="20"/>
        </w:rPr>
      </w:pPr>
    </w:p>
    <w:p w14:paraId="31BF1D93" w14:textId="2FB00302" w:rsidR="00AF131F" w:rsidRDefault="00C15F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Cs w:val="24"/>
        </w:rPr>
      </w:pPr>
      <w:bookmarkStart w:id="2" w:name="_heading=h.583rob5pljfr" w:colFirst="0" w:colLast="0"/>
      <w:bookmarkEnd w:id="2"/>
      <w:r>
        <w:rPr>
          <w:rFonts w:ascii="Calibri" w:eastAsia="Calibri" w:hAnsi="Calibri" w:cs="Calibri"/>
          <w:noProof/>
          <w:color w:val="000000"/>
          <w:szCs w:val="24"/>
        </w:rPr>
        <w:drawing>
          <wp:inline distT="0" distB="0" distL="114300" distR="114300" wp14:anchorId="4D3F0792" wp14:editId="7F6ABE67">
            <wp:extent cx="8296275" cy="4905375"/>
            <wp:effectExtent l="0" t="0" r="9525" b="9525"/>
            <wp:docPr id="103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96275" cy="4905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4D5AAE" w14:textId="77777777" w:rsidR="00DC285B" w:rsidRDefault="00DC285B" w:rsidP="00DC28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hAnsiTheme="majorHAnsi" w:cstheme="majorHAnsi"/>
          <w:i/>
          <w:position w:val="0"/>
          <w:sz w:val="20"/>
        </w:rPr>
      </w:pPr>
      <w:r w:rsidRPr="006D0306">
        <w:rPr>
          <w:rFonts w:asciiTheme="majorHAnsi" w:hAnsiTheme="majorHAnsi" w:cstheme="majorHAnsi"/>
          <w:i/>
          <w:position w:val="0"/>
          <w:sz w:val="20"/>
        </w:rPr>
        <w:t xml:space="preserve">Fonte: Ministero del Lavoro e delle Politiche Sociali - Futurae </w:t>
      </w:r>
      <w:r>
        <w:rPr>
          <w:rFonts w:asciiTheme="majorHAnsi" w:hAnsiTheme="majorHAnsi" w:cstheme="majorHAnsi"/>
          <w:i/>
          <w:position w:val="0"/>
          <w:sz w:val="20"/>
        </w:rPr>
        <w:t>–</w:t>
      </w:r>
      <w:r w:rsidRPr="006D0306">
        <w:rPr>
          <w:rFonts w:asciiTheme="majorHAnsi" w:hAnsiTheme="majorHAnsi" w:cstheme="majorHAnsi"/>
          <w:i/>
          <w:position w:val="0"/>
          <w:sz w:val="20"/>
        </w:rPr>
        <w:t xml:space="preserve"> Unioncamere</w:t>
      </w:r>
      <w:r>
        <w:rPr>
          <w:rFonts w:asciiTheme="majorHAnsi" w:hAnsiTheme="majorHAnsi" w:cstheme="majorHAnsi"/>
          <w:i/>
          <w:position w:val="0"/>
          <w:sz w:val="20"/>
        </w:rPr>
        <w:t xml:space="preserve">. </w:t>
      </w:r>
    </w:p>
    <w:p w14:paraId="2B9CB30F" w14:textId="77777777" w:rsidR="00DC285B" w:rsidRDefault="00DC285B" w:rsidP="00DC28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hAnsiTheme="majorHAnsi" w:cstheme="majorHAnsi"/>
          <w:i/>
          <w:position w:val="0"/>
          <w:sz w:val="20"/>
        </w:rPr>
      </w:pPr>
      <w:r>
        <w:rPr>
          <w:rFonts w:asciiTheme="majorHAnsi" w:hAnsiTheme="majorHAnsi" w:cstheme="majorHAnsi"/>
          <w:i/>
          <w:position w:val="0"/>
          <w:sz w:val="20"/>
        </w:rPr>
        <w:t>“L’mprenditoria straniera in Italia – Report I semestre 2025”</w:t>
      </w:r>
    </w:p>
    <w:sectPr w:rsidR="00DC285B" w:rsidSect="00DC285B">
      <w:pgSz w:w="16838" w:h="11906" w:orient="landscape"/>
      <w:pgMar w:top="1559" w:right="1134" w:bottom="1135" w:left="1134" w:header="720" w:footer="96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F5343C" w14:textId="77777777" w:rsidR="00C808A4" w:rsidRDefault="00C808A4">
      <w:pPr>
        <w:spacing w:line="240" w:lineRule="auto"/>
        <w:ind w:left="0" w:hanging="2"/>
      </w:pPr>
      <w:r>
        <w:separator/>
      </w:r>
    </w:p>
  </w:endnote>
  <w:endnote w:type="continuationSeparator" w:id="0">
    <w:p w14:paraId="19732CBE" w14:textId="77777777" w:rsidR="00C808A4" w:rsidRDefault="00C808A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It">
    <w:altName w:val="Calibri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asa">
    <w:altName w:val="Calibri"/>
    <w:charset w:val="00"/>
    <w:family w:val="auto"/>
    <w:pitch w:val="default"/>
  </w:font>
  <w:font w:name="Rasa Light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97629" w14:textId="77777777" w:rsidR="00AF131F" w:rsidRDefault="00AF13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1" w:rightFromText="141" w:vertAnchor="text" w:tblpX="-72" w:tblpY="9499"/>
      <w:tblW w:w="9356" w:type="dxa"/>
      <w:tblLayout w:type="fixed"/>
      <w:tblLook w:val="0000" w:firstRow="0" w:lastRow="0" w:firstColumn="0" w:lastColumn="0" w:noHBand="0" w:noVBand="0"/>
    </w:tblPr>
    <w:tblGrid>
      <w:gridCol w:w="4678"/>
      <w:gridCol w:w="4678"/>
    </w:tblGrid>
    <w:tr w:rsidR="003D5BF6" w14:paraId="1198B5DB" w14:textId="77777777" w:rsidTr="007844AE">
      <w:trPr>
        <w:trHeight w:val="464"/>
      </w:trPr>
      <w:tc>
        <w:tcPr>
          <w:tcW w:w="4678" w:type="dxa"/>
          <w:vAlign w:val="center"/>
        </w:tcPr>
        <w:p w14:paraId="4B479F4B" w14:textId="77777777" w:rsidR="003D5BF6" w:rsidRDefault="003D5BF6" w:rsidP="003D5BF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auto"/>
            <w:ind w:left="0" w:hanging="2"/>
            <w:jc w:val="left"/>
            <w:textDirection w:val="lrTb"/>
            <w:rPr>
              <w:rFonts w:ascii="Rasa Light" w:eastAsia="Rasa Light" w:hAnsi="Rasa Light" w:cs="Rasa Light"/>
              <w:color w:val="071D49"/>
              <w:sz w:val="20"/>
            </w:rPr>
          </w:pPr>
          <w:r>
            <w:rPr>
              <w:rFonts w:ascii="Rasa Light" w:eastAsia="Rasa Light" w:hAnsi="Rasa Light" w:cs="Rasa Light"/>
              <w:b/>
              <w:color w:val="071D49"/>
              <w:sz w:val="20"/>
            </w:rPr>
            <w:t>Per ulteriori informazioni:</w:t>
          </w:r>
        </w:p>
        <w:p w14:paraId="15B6DBA9" w14:textId="77777777" w:rsidR="003D5BF6" w:rsidRDefault="003D5BF6" w:rsidP="003D5BF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auto"/>
            <w:ind w:left="0" w:hanging="2"/>
            <w:jc w:val="left"/>
            <w:textDirection w:val="lrTb"/>
            <w:rPr>
              <w:rFonts w:ascii="Calibri" w:eastAsia="Calibri" w:hAnsi="Calibri" w:cs="Calibri"/>
              <w:color w:val="000000"/>
              <w:szCs w:val="24"/>
            </w:rPr>
          </w:pPr>
          <w:r>
            <w:rPr>
              <w:rFonts w:ascii="Rasa Light" w:eastAsia="Rasa Light" w:hAnsi="Rasa Light" w:cs="Rasa Light"/>
              <w:color w:val="071D49"/>
              <w:sz w:val="20"/>
            </w:rPr>
            <w:t>06.4704 264 / 348.9025607</w:t>
          </w:r>
        </w:p>
      </w:tc>
      <w:bookmarkStart w:id="1" w:name="_heading=h.33wytbd77pfg" w:colFirst="0" w:colLast="0"/>
      <w:bookmarkEnd w:id="1"/>
      <w:tc>
        <w:tcPr>
          <w:tcW w:w="4678" w:type="dxa"/>
          <w:vAlign w:val="center"/>
        </w:tcPr>
        <w:p w14:paraId="2315ACF3" w14:textId="77777777" w:rsidR="003D5BF6" w:rsidRDefault="003D5BF6" w:rsidP="003D5BF6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right"/>
            <w:textDirection w:val="lrTb"/>
            <w:rPr>
              <w:rFonts w:ascii="Calibri" w:eastAsia="Calibri" w:hAnsi="Calibri" w:cs="Calibri"/>
              <w:color w:val="000000"/>
              <w:szCs w:val="24"/>
            </w:rPr>
          </w:pPr>
          <w:r>
            <w:fldChar w:fldCharType="begin"/>
          </w:r>
          <w:r>
            <w:instrText xml:space="preserve"> HYPERLINK "http://www.unioncamere.gov.it" \h </w:instrText>
          </w:r>
          <w:r>
            <w:fldChar w:fldCharType="separate"/>
          </w:r>
          <w:r>
            <w:rPr>
              <w:rFonts w:ascii="Calibri" w:eastAsia="Calibri" w:hAnsi="Calibri" w:cs="Calibri"/>
              <w:b/>
              <w:noProof/>
              <w:color w:val="000000"/>
              <w:szCs w:val="24"/>
            </w:rPr>
            <w:drawing>
              <wp:inline distT="0" distB="0" distL="114300" distR="114300" wp14:anchorId="2A85424A" wp14:editId="554CDF68">
                <wp:extent cx="215900" cy="215900"/>
                <wp:effectExtent l="0" t="0" r="0" b="0"/>
                <wp:docPr id="11" name="image6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Calibri" w:eastAsia="Calibri" w:hAnsi="Calibri" w:cs="Calibri"/>
              <w:b/>
              <w:noProof/>
              <w:color w:val="000000"/>
              <w:szCs w:val="24"/>
            </w:rPr>
            <w:fldChar w:fldCharType="end"/>
          </w:r>
          <w:r>
            <w:rPr>
              <w:rFonts w:ascii="Calibri" w:eastAsia="Calibri" w:hAnsi="Calibri" w:cs="Calibri"/>
              <w:b/>
              <w:color w:val="000000"/>
              <w:szCs w:val="24"/>
            </w:rPr>
            <w:t xml:space="preserve"> </w:t>
          </w:r>
          <w:hyperlink r:id="rId2">
            <w:r>
              <w:rPr>
                <w:rFonts w:ascii="Calibri" w:eastAsia="Calibri" w:hAnsi="Calibri" w:cs="Calibri"/>
                <w:b/>
                <w:noProof/>
                <w:color w:val="000000"/>
                <w:szCs w:val="24"/>
              </w:rPr>
              <w:drawing>
                <wp:inline distT="0" distB="0" distL="114300" distR="114300" wp14:anchorId="01238069" wp14:editId="4A01F7A3">
                  <wp:extent cx="222250" cy="222250"/>
                  <wp:effectExtent l="0" t="0" r="0" b="0"/>
                  <wp:docPr id="12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" cy="222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hyperlink>
          <w:r>
            <w:rPr>
              <w:rFonts w:ascii="Calibri" w:eastAsia="Calibri" w:hAnsi="Calibri" w:cs="Calibri"/>
              <w:b/>
              <w:color w:val="000000"/>
              <w:szCs w:val="24"/>
            </w:rPr>
            <w:t xml:space="preserve"> </w:t>
          </w:r>
          <w:hyperlink r:id="rId4">
            <w:r>
              <w:rPr>
                <w:noProof/>
                <w:color w:val="000000"/>
                <w:szCs w:val="24"/>
              </w:rPr>
              <w:drawing>
                <wp:inline distT="0" distB="0" distL="114300" distR="114300" wp14:anchorId="48860A99" wp14:editId="5951617A">
                  <wp:extent cx="225425" cy="224790"/>
                  <wp:effectExtent l="0" t="0" r="0" b="0"/>
                  <wp:docPr id="13" name="image3.png" descr="logo-facebook-piccolo-andal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logo-facebook-piccolo-andalo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" cy="2247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hyperlink>
          <w:r>
            <w:rPr>
              <w:color w:val="000000"/>
              <w:szCs w:val="24"/>
            </w:rPr>
            <w:t xml:space="preserve"> </w:t>
          </w:r>
          <w:hyperlink r:id="rId6">
            <w:r>
              <w:rPr>
                <w:noProof/>
                <w:color w:val="000000"/>
                <w:szCs w:val="24"/>
              </w:rPr>
              <w:drawing>
                <wp:inline distT="0" distB="0" distL="114300" distR="114300" wp14:anchorId="2215739E" wp14:editId="2C013643">
                  <wp:extent cx="220980" cy="220980"/>
                  <wp:effectExtent l="0" t="0" r="0" b="0"/>
                  <wp:docPr id="14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" cy="2209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hyperlink>
          <w:r>
            <w:rPr>
              <w:color w:val="000000"/>
              <w:szCs w:val="24"/>
            </w:rPr>
            <w:t xml:space="preserve"> </w:t>
          </w:r>
          <w:hyperlink r:id="rId8">
            <w:r>
              <w:rPr>
                <w:rFonts w:ascii="Calibri" w:eastAsia="Calibri" w:hAnsi="Calibri" w:cs="Calibri"/>
                <w:noProof/>
                <w:color w:val="000000"/>
                <w:szCs w:val="24"/>
              </w:rPr>
              <w:drawing>
                <wp:inline distT="0" distB="0" distL="114300" distR="114300" wp14:anchorId="458B7537" wp14:editId="121CA6C2">
                  <wp:extent cx="425450" cy="227965"/>
                  <wp:effectExtent l="0" t="0" r="0" b="0"/>
                  <wp:docPr id="1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" cy="2279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hyperlink>
          <w:r>
            <w:rPr>
              <w:rFonts w:ascii="Calibri" w:eastAsia="Calibri" w:hAnsi="Calibri" w:cs="Calibri"/>
              <w:color w:val="000000"/>
              <w:szCs w:val="24"/>
            </w:rPr>
            <w:t xml:space="preserve">  </w:t>
          </w:r>
          <w:r>
            <w:rPr>
              <w:rFonts w:ascii="Calibri" w:eastAsia="Calibri" w:hAnsi="Calibri" w:cs="Calibri"/>
              <w:b/>
              <w:color w:val="000000"/>
              <w:szCs w:val="24"/>
            </w:rPr>
            <w:t xml:space="preserve"> </w:t>
          </w:r>
        </w:p>
      </w:tc>
    </w:tr>
  </w:tbl>
  <w:p w14:paraId="61709B2B" w14:textId="77777777" w:rsidR="00AF131F" w:rsidRDefault="00AF131F" w:rsidP="003D5BF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jc w:val="left"/>
      <w:rPr>
        <w:color w:val="000000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63BE0" w14:textId="77777777" w:rsidR="00AF131F" w:rsidRDefault="00AF13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EED4FE" w14:textId="77777777" w:rsidR="00C808A4" w:rsidRDefault="00C808A4">
      <w:pPr>
        <w:spacing w:line="240" w:lineRule="auto"/>
        <w:ind w:left="0" w:hanging="2"/>
      </w:pPr>
      <w:r>
        <w:separator/>
      </w:r>
    </w:p>
  </w:footnote>
  <w:footnote w:type="continuationSeparator" w:id="0">
    <w:p w14:paraId="6258029B" w14:textId="77777777" w:rsidR="00C808A4" w:rsidRDefault="00C808A4">
      <w:pPr>
        <w:spacing w:line="240" w:lineRule="auto"/>
        <w:ind w:left="0" w:hanging="2"/>
      </w:pPr>
      <w:r>
        <w:continuationSeparator/>
      </w:r>
    </w:p>
  </w:footnote>
  <w:footnote w:id="1">
    <w:sdt>
      <w:sdtPr>
        <w:tag w:val="goog_rdk_47"/>
        <w:id w:val="-1574560129"/>
      </w:sdtPr>
      <w:sdtContent>
        <w:p w14:paraId="4C18F939" w14:textId="77777777" w:rsidR="00AF131F" w:rsidRDefault="00C15FB3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left"/>
          </w:pPr>
          <w:r>
            <w:rPr>
              <w:vertAlign w:val="superscript"/>
            </w:rPr>
            <w:footnoteRef/>
          </w:r>
          <w:sdt>
            <w:sdtPr>
              <w:tag w:val="goog_rdk_46"/>
              <w:id w:val="1520633250"/>
            </w:sdtPr>
            <w:sdtContent>
              <w:r>
                <w:rPr>
                  <w:i/>
                  <w:color w:val="000000"/>
                  <w:sz w:val="20"/>
                </w:rPr>
                <w:t xml:space="preserve"> </w:t>
              </w:r>
              <w:r>
                <w:rPr>
                  <w:i/>
                </w:rPr>
                <w:t xml:space="preserve">Si considerano </w:t>
              </w:r>
              <w:r>
                <w:rPr>
                  <w:b/>
                  <w:i/>
                </w:rPr>
                <w:t xml:space="preserve">"Imprese straniere" </w:t>
              </w:r>
              <w:r>
                <w:rPr>
                  <w:i/>
                </w:rPr>
                <w:t xml:space="preserve">le imprese la cui partecipazione del controllo e della proprietà è detenuta in prevalenza da persone </w:t>
              </w:r>
              <w:r>
                <w:rPr>
                  <w:b/>
                  <w:i/>
                </w:rPr>
                <w:t>non nate in Italia.</w:t>
              </w:r>
              <w:r>
                <w:rPr>
                  <w:b/>
                  <w:i/>
                </w:rPr>
                <w:br/>
              </w:r>
              <w:r>
                <w:rPr>
                  <w:i/>
                </w:rPr>
                <w:t xml:space="preserve">In generale si considerano </w:t>
              </w:r>
              <w:r>
                <w:rPr>
                  <w:b/>
                  <w:i/>
                </w:rPr>
                <w:t xml:space="preserve">straniere </w:t>
              </w:r>
              <w:r>
                <w:rPr>
                  <w:i/>
                </w:rPr>
                <w:t>le imprese la cui partecipazione di persone non nate in Italia risulta complessivamente superiore al 50% mediando le composizioni di quote di partecipazione e di cariche amministrative detenute da stranieri, per tipologia di impresa.</w:t>
              </w:r>
              <w:r>
                <w:br/>
                <w:t xml:space="preserve"> </w:t>
              </w:r>
            </w:sdtContent>
          </w:sdt>
        </w:p>
      </w:sdtContent>
    </w:sdt>
    <w:sdt>
      <w:sdtPr>
        <w:tag w:val="goog_rdk_49"/>
        <w:id w:val="-992244336"/>
      </w:sdtPr>
      <w:sdtContent>
        <w:p w14:paraId="751DDAAB" w14:textId="703629E7" w:rsidR="00AF131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left"/>
          </w:pPr>
          <w:sdt>
            <w:sdtPr>
              <w:tag w:val="goog_rdk_48"/>
              <w:id w:val="58354220"/>
              <w:showingPlcHdr/>
            </w:sdtPr>
            <w:sdtContent>
              <w:r w:rsidR="003D5BF6">
                <w:t xml:space="preserve">     </w:t>
              </w:r>
            </w:sdtContent>
          </w:sdt>
        </w:p>
      </w:sdtContent>
    </w:sdt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8D8E3" w14:textId="77777777" w:rsidR="00AF131F" w:rsidRDefault="00AF13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87127" w14:textId="77777777" w:rsidR="00AF131F" w:rsidRDefault="00AF13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</w:p>
  <w:p w14:paraId="73A9B7A9" w14:textId="77777777" w:rsidR="00AF131F" w:rsidRDefault="00AF13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A2E2A" w14:textId="77777777" w:rsidR="00AF131F" w:rsidRDefault="00AF13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223F7"/>
    <w:multiLevelType w:val="multilevel"/>
    <w:tmpl w:val="D7CE92C2"/>
    <w:lvl w:ilvl="0">
      <w:start w:val="1"/>
      <w:numFmt w:val="decimal"/>
      <w:pStyle w:val="Rientroletter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S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3828765">
    <w:abstractNumId w:val="0"/>
  </w:num>
  <w:num w:numId="2" w16cid:durableId="3671436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31F"/>
    <w:rsid w:val="00097BF3"/>
    <w:rsid w:val="00161ADC"/>
    <w:rsid w:val="001B56E5"/>
    <w:rsid w:val="002025EB"/>
    <w:rsid w:val="00241917"/>
    <w:rsid w:val="00385CE8"/>
    <w:rsid w:val="003A596B"/>
    <w:rsid w:val="003D5BF6"/>
    <w:rsid w:val="00446495"/>
    <w:rsid w:val="004A6DD3"/>
    <w:rsid w:val="005873C7"/>
    <w:rsid w:val="006D0306"/>
    <w:rsid w:val="00957246"/>
    <w:rsid w:val="00986CEE"/>
    <w:rsid w:val="009D377F"/>
    <w:rsid w:val="00AF131F"/>
    <w:rsid w:val="00C15FB3"/>
    <w:rsid w:val="00C808A4"/>
    <w:rsid w:val="00DA7C5D"/>
    <w:rsid w:val="00DC285B"/>
    <w:rsid w:val="00EA5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976E40"/>
  <w15:docId w15:val="{6C659F2C-6ED4-4225-B807-F4A8A40FC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DC285B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4"/>
      <w:lang w:val="it-IT"/>
    </w:rPr>
  </w:style>
  <w:style w:type="paragraph" w:styleId="Titolo1">
    <w:name w:val="heading 1"/>
    <w:basedOn w:val="Normale"/>
    <w:next w:val="Normale"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outlineLvl w:val="1"/>
    </w:pPr>
    <w:rPr>
      <w:b/>
    </w:rPr>
  </w:style>
  <w:style w:type="paragraph" w:styleId="Titolo3">
    <w:name w:val="heading 3"/>
    <w:basedOn w:val="Normale"/>
    <w:next w:val="Normale"/>
    <w:pPr>
      <w:keepNext/>
      <w:outlineLvl w:val="2"/>
    </w:pPr>
    <w:rPr>
      <w:b/>
      <w:sz w:val="22"/>
    </w:rPr>
  </w:style>
  <w:style w:type="paragraph" w:styleId="Titolo4">
    <w:name w:val="heading 4"/>
    <w:basedOn w:val="Normale"/>
    <w:next w:val="Normale"/>
    <w:pPr>
      <w:keepNext/>
      <w:outlineLvl w:val="3"/>
    </w:pPr>
    <w:rPr>
      <w:rFonts w:ascii="Verdana" w:hAnsi="Verdana"/>
      <w:b/>
      <w:sz w:val="20"/>
    </w:rPr>
  </w:style>
  <w:style w:type="paragraph" w:styleId="Titolo5">
    <w:name w:val="heading 5"/>
    <w:basedOn w:val="Normale"/>
    <w:next w:val="Normale"/>
    <w:pPr>
      <w:keepNext/>
      <w:jc w:val="center"/>
      <w:outlineLvl w:val="4"/>
    </w:pPr>
    <w:rPr>
      <w:sz w:val="28"/>
    </w:rPr>
  </w:style>
  <w:style w:type="paragraph" w:styleId="Titolo6">
    <w:name w:val="heading 6"/>
    <w:basedOn w:val="Normale"/>
    <w:next w:val="Normale"/>
    <w:pPr>
      <w:keepNext/>
      <w:jc w:val="left"/>
      <w:outlineLvl w:val="5"/>
    </w:pPr>
    <w:rPr>
      <w:rFonts w:ascii="Arial" w:hAnsi="Arial"/>
      <w:b/>
      <w:snapToGrid w:val="0"/>
      <w:color w:val="000000"/>
      <w:sz w:val="18"/>
    </w:rPr>
  </w:style>
  <w:style w:type="paragraph" w:styleId="Titolo7">
    <w:name w:val="heading 7"/>
    <w:basedOn w:val="Normale"/>
    <w:next w:val="Normale"/>
    <w:pPr>
      <w:keepNext/>
      <w:outlineLvl w:val="6"/>
    </w:pPr>
    <w:rPr>
      <w:rFonts w:ascii="Arial" w:hAnsi="Arial"/>
      <w:b/>
      <w:sz w:val="18"/>
    </w:rPr>
  </w:style>
  <w:style w:type="paragraph" w:styleId="Titolo8">
    <w:name w:val="heading 8"/>
    <w:basedOn w:val="Normale"/>
    <w:next w:val="Normale"/>
    <w:pPr>
      <w:keepNext/>
      <w:ind w:right="-1"/>
      <w:jc w:val="center"/>
      <w:outlineLvl w:val="7"/>
    </w:pPr>
    <w:rPr>
      <w:rFonts w:ascii="MyriadPro-It" w:hAnsi="MyriadPro-It"/>
      <w:snapToGrid w:val="0"/>
      <w:sz w:val="36"/>
    </w:rPr>
  </w:style>
  <w:style w:type="paragraph" w:styleId="Titolo9">
    <w:name w:val="heading 9"/>
    <w:basedOn w:val="Normale"/>
    <w:next w:val="Normale"/>
    <w:pPr>
      <w:keepNext/>
      <w:ind w:right="-1"/>
      <w:jc w:val="center"/>
      <w:outlineLvl w:val="8"/>
    </w:pPr>
    <w:rPr>
      <w:rFonts w:ascii="Arial" w:hAnsi="Arial"/>
      <w:b/>
      <w:snapToGrid w:val="0"/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pPr>
      <w:jc w:val="center"/>
    </w:pPr>
    <w:rPr>
      <w:i/>
      <w:sz w:val="26"/>
    </w:rPr>
  </w:style>
  <w:style w:type="paragraph" w:customStyle="1" w:styleId="Titolo1Titolocapitolo">
    <w:name w:val="Titolo 1;Titolo capitolo"/>
    <w:basedOn w:val="Normale"/>
    <w:next w:val="Normale"/>
    <w:pPr>
      <w:keepNext/>
      <w:jc w:val="center"/>
    </w:pPr>
    <w:rPr>
      <w:b/>
    </w:rPr>
  </w:style>
  <w:style w:type="character" w:customStyle="1" w:styleId="Titolo4Carattere">
    <w:name w:val="Titolo 4 Carattere"/>
    <w:rPr>
      <w:rFonts w:ascii="Verdana" w:hAnsi="Verdana"/>
      <w:b/>
      <w:w w:val="100"/>
      <w:position w:val="-1"/>
      <w:effect w:val="none"/>
      <w:vertAlign w:val="baseline"/>
      <w:cs w:val="0"/>
      <w:em w:val="none"/>
    </w:rPr>
  </w:style>
  <w:style w:type="character" w:customStyle="1" w:styleId="Titolo5Carattere">
    <w:name w:val="Titolo 5 Carattere"/>
    <w:rPr>
      <w:w w:val="100"/>
      <w:position w:val="-1"/>
      <w:sz w:val="28"/>
      <w:effect w:val="none"/>
      <w:vertAlign w:val="baseline"/>
      <w:cs w:val="0"/>
      <w:em w:val="none"/>
    </w:rPr>
  </w:style>
  <w:style w:type="character" w:customStyle="1" w:styleId="Titolo6Carattere">
    <w:name w:val="Titolo 6 Carattere"/>
    <w:rPr>
      <w:rFonts w:ascii="Arial" w:hAnsi="Arial"/>
      <w:b/>
      <w:snapToGrid/>
      <w:color w:val="000000"/>
      <w:w w:val="100"/>
      <w:position w:val="-1"/>
      <w:sz w:val="18"/>
      <w:effect w:val="none"/>
      <w:vertAlign w:val="baseline"/>
      <w:cs w:val="0"/>
      <w:em w:val="none"/>
    </w:rPr>
  </w:style>
  <w:style w:type="paragraph" w:customStyle="1" w:styleId="CorpotestoTextbtBODYTEXTbodytexttBlocktextheadingtxtbodytxy2ParaEHPTBodyText2bt1bodytextBTtxt1T1Title1EDStextspbullettitlesbsblocktextResumeTextbt4bodytext4bt5bodytext5bodytext1txtextJustifiedppRFPText">
    <w:name w:val="Corpo testo;Text;bt;BODY TEXT;body text;t;Block text;heading_txt;bodytxy2;Para;EHPT;Body Text2;bt1;bodytext;BT;txt1;T1;Title 1;EDStext;sp;bullet title;sbs;block text;Resume Text;bt4;body text4;bt5;body text5;body text1;tx;text;Justified;pp;RFP Text"/>
    <w:basedOn w:val="Normale"/>
    <w:rPr>
      <w:sz w:val="28"/>
    </w:rPr>
  </w:style>
  <w:style w:type="paragraph" w:styleId="Corpodeltesto2">
    <w:name w:val="Body Text 2"/>
    <w:basedOn w:val="Normale"/>
    <w:rPr>
      <w:sz w:val="26"/>
    </w:rPr>
  </w:style>
  <w:style w:type="paragraph" w:styleId="Sottotitolo">
    <w:name w:val="Subtitle"/>
    <w:basedOn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Mappadocumento">
    <w:name w:val="Document Map"/>
    <w:basedOn w:val="Normale"/>
    <w:pPr>
      <w:shd w:val="clear" w:color="auto" w:fill="000080"/>
    </w:pPr>
    <w:rPr>
      <w:rFonts w:ascii="Tahoma" w:hAnsi="Tahoma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rPr>
      <w:i/>
    </w:rPr>
  </w:style>
  <w:style w:type="paragraph" w:customStyle="1" w:styleId="S2">
    <w:name w:val="S2"/>
    <w:basedOn w:val="Normale"/>
    <w:pPr>
      <w:numPr>
        <w:ilvl w:val="1"/>
        <w:numId w:val="1"/>
      </w:numPr>
      <w:ind w:left="-1" w:hanging="1"/>
      <w:jc w:val="left"/>
    </w:pPr>
    <w:rPr>
      <w:rFonts w:ascii="Tempus Sans ITC" w:hAnsi="Tempus Sans ITC"/>
      <w:b/>
      <w:sz w:val="26"/>
    </w:rPr>
  </w:style>
  <w:style w:type="paragraph" w:customStyle="1" w:styleId="TestonotaapidipaginaFootnoteFootnote1Footnote2Footnote3Footnote4Footnote5Footnote6Footnote7Footnote8Footnote9Footnote10Footnote11Footnote21Footnote31Footnote41Footnote51Footnote61Footnote71Footnote81Footnote91Footnote12">
    <w:name w:val="Testo nota a piè di pagina;Footnote;Footnote1;Footnote2;Footnote3;Footnote4;Footnote5;Footnote6;Footnote7;Footnote8;Footnote9;Footnote10;Footnote11;Footnote21;Footnote31;Footnote41;Footnote51;Footnote61;Footnote71;Footnote81;Footnote91;Footnote12"/>
    <w:basedOn w:val="Normale"/>
    <w:pPr>
      <w:jc w:val="left"/>
    </w:pPr>
    <w:rPr>
      <w:sz w:val="20"/>
    </w:rPr>
  </w:style>
  <w:style w:type="character" w:styleId="Rimandonotaapidipagina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Testodelblocco">
    <w:name w:val="Block Text"/>
    <w:basedOn w:val="Normale"/>
    <w:pPr>
      <w:ind w:left="-284" w:right="-285"/>
      <w:jc w:val="center"/>
    </w:pPr>
    <w:rPr>
      <w:rFonts w:ascii="Verdana" w:hAnsi="Verdana"/>
      <w:b/>
      <w:sz w:val="32"/>
    </w:rPr>
  </w:style>
  <w:style w:type="paragraph" w:customStyle="1" w:styleId="Tabella">
    <w:name w:val="Tabella"/>
    <w:basedOn w:val="Titolo2"/>
    <w:pPr>
      <w:spacing w:before="120" w:after="60"/>
    </w:pPr>
    <w:rPr>
      <w:b w:val="0"/>
      <w:i/>
    </w:rPr>
  </w:style>
  <w:style w:type="paragraph" w:customStyle="1" w:styleId="xl41">
    <w:name w:val="xl41"/>
    <w:basedOn w:val="Normale"/>
    <w:pPr>
      <w:spacing w:before="100" w:after="100"/>
    </w:pPr>
  </w:style>
  <w:style w:type="paragraph" w:styleId="Didascalia">
    <w:name w:val="caption"/>
    <w:basedOn w:val="Normale"/>
    <w:next w:val="Normale"/>
    <w:pPr>
      <w:spacing w:after="240"/>
    </w:pPr>
    <w:rPr>
      <w:i/>
      <w:sz w:val="20"/>
    </w:rPr>
  </w:style>
  <w:style w:type="paragraph" w:customStyle="1" w:styleId="Fonte">
    <w:name w:val="Fonte"/>
    <w:basedOn w:val="Didascalia"/>
    <w:pPr>
      <w:spacing w:after="0"/>
    </w:pPr>
    <w:rPr>
      <w:i w:val="0"/>
      <w:sz w:val="18"/>
    </w:rPr>
  </w:style>
  <w:style w:type="paragraph" w:customStyle="1" w:styleId="Stile1">
    <w:name w:val="Stile1"/>
    <w:basedOn w:val="Normale"/>
    <w:pPr>
      <w:spacing w:after="240"/>
    </w:pPr>
    <w:rPr>
      <w:rFonts w:ascii="Courier New" w:hAnsi="Courier New"/>
      <w:sz w:val="20"/>
    </w:rPr>
  </w:style>
  <w:style w:type="paragraph" w:styleId="Sommario4">
    <w:name w:val="toc 4"/>
    <w:basedOn w:val="Normale"/>
    <w:next w:val="Normale"/>
    <w:pPr>
      <w:spacing w:after="240"/>
      <w:ind w:left="720"/>
    </w:pPr>
  </w:style>
  <w:style w:type="paragraph" w:styleId="Sommario6">
    <w:name w:val="toc 6"/>
    <w:basedOn w:val="Normale"/>
    <w:next w:val="Normale"/>
    <w:pPr>
      <w:spacing w:after="240"/>
      <w:ind w:left="1200"/>
    </w:pPr>
  </w:style>
  <w:style w:type="paragraph" w:styleId="Sommario3">
    <w:name w:val="toc 3"/>
    <w:basedOn w:val="Normale"/>
    <w:next w:val="Normale"/>
    <w:pPr>
      <w:spacing w:after="240"/>
      <w:ind w:left="480"/>
    </w:pPr>
  </w:style>
  <w:style w:type="paragraph" w:customStyle="1" w:styleId="StileStileStileTitolo114pt12pt">
    <w:name w:val="Stile Stile Stile Titolo 1 + + 14 pt + 12 pt"/>
    <w:basedOn w:val="Normale"/>
    <w:pPr>
      <w:keepNext/>
      <w:spacing w:line="360" w:lineRule="auto"/>
      <w:ind w:firstLine="708"/>
    </w:pPr>
    <w:rPr>
      <w:rFonts w:ascii="Tahoma" w:hAnsi="Tahoma"/>
      <w:sz w:val="28"/>
      <w:szCs w:val="24"/>
    </w:rPr>
  </w:style>
  <w:style w:type="character" w:customStyle="1" w:styleId="RientrocorpodeltestoCarattere">
    <w:name w:val="Rientro corpo del testo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Rientrocorpodeltesto">
    <w:name w:val="Body Text Indent"/>
    <w:basedOn w:val="Normale"/>
    <w:pPr>
      <w:ind w:left="708"/>
    </w:pPr>
    <w:rPr>
      <w:szCs w:val="24"/>
    </w:rPr>
  </w:style>
  <w:style w:type="character" w:customStyle="1" w:styleId="Rientrocorpodeltesto2Carattere">
    <w:name w:val="Rientro corpo del testo 2 Carattere"/>
    <w:rPr>
      <w:rFonts w:ascii="Tahoma" w:hAnsi="Tahoma"/>
      <w:b/>
      <w:w w:val="100"/>
      <w:position w:val="-1"/>
      <w:sz w:val="32"/>
      <w:szCs w:val="24"/>
      <w:effect w:val="none"/>
      <w:vertAlign w:val="baseline"/>
      <w:cs w:val="0"/>
      <w:em w:val="none"/>
    </w:rPr>
  </w:style>
  <w:style w:type="paragraph" w:styleId="Rientrocorpodeltesto2">
    <w:name w:val="Body Text Indent 2"/>
    <w:basedOn w:val="Normale"/>
    <w:pPr>
      <w:widowControl w:val="0"/>
      <w:spacing w:line="360" w:lineRule="auto"/>
      <w:ind w:left="-840"/>
      <w:jc w:val="left"/>
    </w:pPr>
    <w:rPr>
      <w:rFonts w:ascii="Tahoma" w:hAnsi="Tahoma"/>
      <w:b/>
      <w:sz w:val="32"/>
      <w:szCs w:val="24"/>
    </w:rPr>
  </w:style>
  <w:style w:type="character" w:customStyle="1" w:styleId="Rientrocorpodeltesto3Carattere">
    <w:name w:val="Rientro corpo del testo 3 Carattere"/>
    <w:rPr>
      <w:rFonts w:ascii="Tahoma" w:hAnsi="Tahoma"/>
      <w:w w:val="100"/>
      <w:position w:val="-1"/>
      <w:sz w:val="28"/>
      <w:szCs w:val="24"/>
      <w:effect w:val="none"/>
      <w:vertAlign w:val="baseline"/>
      <w:cs w:val="0"/>
      <w:em w:val="none"/>
    </w:rPr>
  </w:style>
  <w:style w:type="paragraph" w:styleId="Rientrocorpodeltesto3">
    <w:name w:val="Body Text Indent 3"/>
    <w:basedOn w:val="Normale"/>
    <w:pPr>
      <w:ind w:left="708"/>
      <w:jc w:val="left"/>
    </w:pPr>
    <w:rPr>
      <w:rFonts w:ascii="Tahoma" w:hAnsi="Tahoma"/>
      <w:sz w:val="28"/>
      <w:szCs w:val="24"/>
    </w:rPr>
  </w:style>
  <w:style w:type="paragraph" w:customStyle="1" w:styleId="Rientrolettere">
    <w:name w:val="Rientro lettere"/>
    <w:basedOn w:val="Normale"/>
    <w:pPr>
      <w:numPr>
        <w:numId w:val="2"/>
      </w:numPr>
      <w:ind w:left="-1" w:hanging="1"/>
      <w:jc w:val="left"/>
    </w:pPr>
    <w:rPr>
      <w:sz w:val="20"/>
      <w:szCs w:val="24"/>
    </w:rPr>
  </w:style>
  <w:style w:type="paragraph" w:styleId="Paragrafoelenco">
    <w:name w:val="List Paragraph"/>
    <w:basedOn w:val="Normale"/>
    <w:pPr>
      <w:spacing w:after="200" w:line="276" w:lineRule="auto"/>
      <w:ind w:left="720"/>
      <w:jc w:val="left"/>
    </w:pPr>
    <w:rPr>
      <w:rFonts w:ascii="Calibri" w:eastAsia="Calibri" w:hAnsi="Calibri"/>
      <w:sz w:val="22"/>
      <w:szCs w:val="24"/>
    </w:rPr>
  </w:style>
  <w:style w:type="character" w:customStyle="1" w:styleId="TestofumettoCarattere">
    <w:name w:val="Testo fumetto Carattere"/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qFormat/>
    <w:pPr>
      <w:jc w:val="left"/>
    </w:pPr>
    <w:rPr>
      <w:rFonts w:ascii="Tahoma" w:hAnsi="Tahoma"/>
      <w:sz w:val="16"/>
      <w:szCs w:val="16"/>
    </w:rPr>
  </w:style>
  <w:style w:type="character" w:customStyle="1" w:styleId="style132">
    <w:name w:val="style132"/>
    <w:rPr>
      <w:w w:val="100"/>
      <w:position w:val="-1"/>
      <w:effect w:val="none"/>
      <w:vertAlign w:val="baseline"/>
      <w:cs w:val="0"/>
      <w:em w:val="none"/>
    </w:rPr>
  </w:style>
  <w:style w:type="paragraph" w:styleId="NormaleWeb">
    <w:name w:val="Normal (Web)"/>
    <w:basedOn w:val="Normale"/>
    <w:qFormat/>
    <w:pPr>
      <w:spacing w:before="100" w:beforeAutospacing="1" w:after="100" w:afterAutospacing="1"/>
      <w:jc w:val="left"/>
    </w:pPr>
    <w:rPr>
      <w:szCs w:val="24"/>
    </w:rPr>
  </w:style>
  <w:style w:type="character" w:styleId="Enfasigrassett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stonotaapidipaginaCarattere">
    <w:name w:val="Testo nota a piè di pagina Carattere"/>
    <w:rPr>
      <w:w w:val="100"/>
      <w:position w:val="-1"/>
      <w:effect w:val="none"/>
      <w:vertAlign w:val="baseline"/>
      <w:cs w:val="0"/>
      <w:em w:val="none"/>
    </w:rPr>
  </w:style>
  <w:style w:type="character" w:customStyle="1" w:styleId="tabitem">
    <w:name w:val="tab item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paragraph" w:customStyle="1" w:styleId="IsnartTabitem">
    <w:name w:val="Isnart Tab item"/>
    <w:basedOn w:val="Normale"/>
    <w:pPr>
      <w:spacing w:before="60" w:after="60"/>
      <w:jc w:val="left"/>
    </w:pPr>
    <w:rPr>
      <w:rFonts w:ascii="Arial Narrow" w:hAnsi="Arial Narrow"/>
      <w:color w:val="000000"/>
    </w:rPr>
  </w:style>
  <w:style w:type="character" w:customStyle="1" w:styleId="IntestazioneCarattere">
    <w:name w:val="Intestazione Carattere"/>
    <w:rPr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PidipaginaCarattere">
    <w:name w:val="Piè di pagina Carattere"/>
    <w:rPr>
      <w:w w:val="100"/>
      <w:position w:val="-1"/>
      <w:sz w:val="24"/>
      <w:effect w:val="none"/>
      <w:vertAlign w:val="baseline"/>
      <w:cs w:val="0"/>
      <w:em w:val="none"/>
    </w:rPr>
  </w:style>
  <w:style w:type="character" w:styleId="Collegamentovisitato">
    <w:name w:val="FollowedHyperlink"/>
    <w:qFormat/>
    <w:rPr>
      <w:color w:val="96607D"/>
      <w:w w:val="100"/>
      <w:position w:val="-1"/>
      <w:u w:val="single"/>
      <w:effect w:val="none"/>
      <w:vertAlign w:val="baseline"/>
      <w:cs w:val="0"/>
      <w:em w:val="none"/>
    </w:rPr>
  </w:style>
  <w:style w:type="character" w:styleId="Rimandocomment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stocommento">
    <w:name w:val="annotation text"/>
    <w:basedOn w:val="Normale"/>
    <w:qFormat/>
    <w:rPr>
      <w:sz w:val="20"/>
    </w:rPr>
  </w:style>
  <w:style w:type="character" w:customStyle="1" w:styleId="TestocommentoCarattere">
    <w:name w:val="Testo commento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Soggettocommento">
    <w:name w:val="annotation subject"/>
    <w:basedOn w:val="Testocommento"/>
    <w:next w:val="Testocommento"/>
    <w:qFormat/>
    <w:rPr>
      <w:b/>
      <w:bCs/>
    </w:rPr>
  </w:style>
  <w:style w:type="character" w:customStyle="1" w:styleId="SoggettocommentoCarattere">
    <w:name w:val="Soggetto commento Carattere"/>
    <w:rPr>
      <w:b/>
      <w:bCs/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integrazionemigranti.gov.it/Altre-info/id/78/Imprese-dei-migranti-la-dashboard-interattiva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integrazionemigranti.gov.it/it-it/Dettaglio-progetto/id/58/Futurae-Programma-Imprese-Migranti-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user/pressroomunioncamere?feature=results_main" TargetMode="External"/><Relationship Id="rId3" Type="http://schemas.openxmlformats.org/officeDocument/2006/relationships/image" Target="media/image5.jpg"/><Relationship Id="rId7" Type="http://schemas.openxmlformats.org/officeDocument/2006/relationships/image" Target="media/image7.jpg"/><Relationship Id="rId2" Type="http://schemas.openxmlformats.org/officeDocument/2006/relationships/hyperlink" Target="mailto:ufficio.stampa@unioncamere.it" TargetMode="External"/><Relationship Id="rId1" Type="http://schemas.openxmlformats.org/officeDocument/2006/relationships/image" Target="media/image4.jpg"/><Relationship Id="rId6" Type="http://schemas.openxmlformats.org/officeDocument/2006/relationships/hyperlink" Target="https://twitter.com/unioncamere" TargetMode="External"/><Relationship Id="rId5" Type="http://schemas.openxmlformats.org/officeDocument/2006/relationships/image" Target="media/image6.png"/><Relationship Id="rId4" Type="http://schemas.openxmlformats.org/officeDocument/2006/relationships/hyperlink" Target="http://www.facebook.com/Unioncamere" TargetMode="External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wxQdzBauKeSzNLmixi/guhnx9g==">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InfoCamere</Company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Ufficio Stampa</dc:creator>
  <cp:lastModifiedBy>Ivana Santic</cp:lastModifiedBy>
  <cp:revision>9</cp:revision>
  <dcterms:created xsi:type="dcterms:W3CDTF">2025-10-30T10:15:00Z</dcterms:created>
  <dcterms:modified xsi:type="dcterms:W3CDTF">2025-10-31T10:37:00Z</dcterms:modified>
</cp:coreProperties>
</file>