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11" w:rsidRDefault="00157111" w:rsidP="00157111">
      <w:pPr>
        <w:rPr>
          <w:rFonts w:ascii="Calibri" w:eastAsia="Calibri" w:hAnsi="Calibri" w:cs="Calibri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4913630</wp:posOffset>
            </wp:positionH>
            <wp:positionV relativeFrom="paragraph">
              <wp:posOffset>-9525</wp:posOffset>
            </wp:positionV>
            <wp:extent cx="1110615" cy="664845"/>
            <wp:effectExtent l="0" t="0" r="0" b="0"/>
            <wp:wrapNone/>
            <wp:docPr id="340" name="image6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log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66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39370</wp:posOffset>
            </wp:positionV>
            <wp:extent cx="2639695" cy="621030"/>
            <wp:effectExtent l="0" t="0" r="0" b="0"/>
            <wp:wrapNone/>
            <wp:docPr id="334" name="image2.png" descr="Descrizione: http://www.unioncamere.gov.it/images/logo_unioncame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zione: http://www.unioncamere.gov.it/images/logo_unioncamere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621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7111" w:rsidRDefault="00157111" w:rsidP="00157111">
      <w:pPr>
        <w:rPr>
          <w:rFonts w:ascii="Calibri" w:eastAsia="Calibri" w:hAnsi="Calibri" w:cs="Calibri"/>
          <w:b/>
          <w:color w:val="FF0000"/>
          <w:sz w:val="44"/>
          <w:szCs w:val="44"/>
        </w:rPr>
      </w:pPr>
    </w:p>
    <w:p w:rsidR="00157111" w:rsidRDefault="00157111" w:rsidP="00157111">
      <w:pPr>
        <w:jc w:val="center"/>
        <w:rPr>
          <w:rFonts w:ascii="Calibri" w:eastAsia="Calibri" w:hAnsi="Calibri" w:cs="Calibri"/>
          <w:color w:val="808080"/>
          <w:sz w:val="44"/>
          <w:szCs w:val="44"/>
        </w:rPr>
      </w:pPr>
      <w:r>
        <w:rPr>
          <w:rFonts w:ascii="Calibri" w:eastAsia="Calibri" w:hAnsi="Calibri" w:cs="Calibri"/>
          <w:color w:val="808080"/>
          <w:sz w:val="44"/>
          <w:szCs w:val="44"/>
        </w:rPr>
        <w:t>Comunicato stampa</w:t>
      </w:r>
    </w:p>
    <w:p w:rsidR="00157111" w:rsidRPr="00084C88" w:rsidRDefault="000C6EB9" w:rsidP="00084C88">
      <w:pPr>
        <w:spacing w:after="0"/>
        <w:jc w:val="center"/>
        <w:rPr>
          <w:rFonts w:ascii="Calibri" w:eastAsia="Calibri" w:hAnsi="Calibri" w:cs="Calibri"/>
          <w:sz w:val="28"/>
          <w:szCs w:val="24"/>
        </w:rPr>
      </w:pPr>
      <w:r w:rsidRPr="000C6EB9">
        <w:rPr>
          <w:rFonts w:ascii="Calibri" w:eastAsia="Calibri" w:hAnsi="Calibri" w:cs="Calibri"/>
          <w:b/>
          <w:sz w:val="30"/>
          <w:szCs w:val="30"/>
        </w:rPr>
        <w:t xml:space="preserve">In aumento gli imprenditori </w:t>
      </w:r>
      <w:proofErr w:type="spellStart"/>
      <w:r w:rsidRPr="000C6EB9">
        <w:rPr>
          <w:rFonts w:ascii="Calibri" w:eastAsia="Calibri" w:hAnsi="Calibri" w:cs="Calibri"/>
          <w:b/>
          <w:sz w:val="30"/>
          <w:szCs w:val="30"/>
        </w:rPr>
        <w:t>over</w:t>
      </w:r>
      <w:proofErr w:type="spellEnd"/>
      <w:r w:rsidRPr="000C6EB9">
        <w:rPr>
          <w:rFonts w:ascii="Calibri" w:eastAsia="Calibri" w:hAnsi="Calibri" w:cs="Calibri"/>
          <w:b/>
          <w:sz w:val="30"/>
          <w:szCs w:val="30"/>
        </w:rPr>
        <w:t xml:space="preserve"> 70 alla guida delle micro-imprese italiane</w:t>
      </w:r>
      <w:r w:rsidRPr="000C6EB9"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157111" w:rsidRPr="00157111">
        <w:rPr>
          <w:rFonts w:ascii="Calibri" w:eastAsia="Calibri" w:hAnsi="Calibri" w:cs="Calibri"/>
          <w:sz w:val="28"/>
          <w:szCs w:val="24"/>
        </w:rPr>
        <w:t>Negli ultimi 1</w:t>
      </w:r>
      <w:r w:rsidR="00157111">
        <w:rPr>
          <w:rFonts w:ascii="Calibri" w:eastAsia="Calibri" w:hAnsi="Calibri" w:cs="Calibri"/>
          <w:sz w:val="28"/>
          <w:szCs w:val="24"/>
        </w:rPr>
        <w:t xml:space="preserve">0 anni i titolari di imprese individuali sono diminuiti di 300mila unità ma quelli </w:t>
      </w:r>
      <w:r>
        <w:rPr>
          <w:rFonts w:ascii="Calibri" w:eastAsia="Calibri" w:hAnsi="Calibri" w:cs="Calibri"/>
          <w:sz w:val="28"/>
          <w:szCs w:val="24"/>
        </w:rPr>
        <w:t>più anziani</w:t>
      </w:r>
      <w:r w:rsidR="00157111" w:rsidRPr="00157111">
        <w:rPr>
          <w:rFonts w:ascii="Calibri" w:eastAsia="Calibri" w:hAnsi="Calibri" w:cs="Calibri"/>
          <w:sz w:val="28"/>
          <w:szCs w:val="24"/>
        </w:rPr>
        <w:t xml:space="preserve"> </w:t>
      </w:r>
      <w:r w:rsidR="00084C88">
        <w:rPr>
          <w:rFonts w:ascii="Calibri" w:eastAsia="Calibri" w:hAnsi="Calibri" w:cs="Calibri"/>
          <w:sz w:val="28"/>
          <w:szCs w:val="24"/>
        </w:rPr>
        <w:t xml:space="preserve">sono aumentati di quasi 25mila </w:t>
      </w:r>
    </w:p>
    <w:p w:rsidR="00157111" w:rsidRDefault="00157111" w:rsidP="00831B78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31B78" w:rsidRPr="0065717B" w:rsidRDefault="00831B78" w:rsidP="00831B78">
      <w:pPr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65717B">
        <w:rPr>
          <w:rFonts w:ascii="Calibri" w:eastAsia="Calibri" w:hAnsi="Calibri" w:cs="Calibri"/>
          <w:sz w:val="23"/>
          <w:szCs w:val="23"/>
        </w:rPr>
        <w:t xml:space="preserve">Roma, </w:t>
      </w:r>
      <w:r w:rsidR="00A05402">
        <w:rPr>
          <w:rFonts w:ascii="Calibri" w:eastAsia="Calibri" w:hAnsi="Calibri" w:cs="Calibri"/>
          <w:sz w:val="23"/>
          <w:szCs w:val="23"/>
        </w:rPr>
        <w:t>8</w:t>
      </w:r>
      <w:r w:rsidRPr="0065717B">
        <w:rPr>
          <w:rFonts w:ascii="Calibri" w:eastAsia="Calibri" w:hAnsi="Calibri" w:cs="Calibri"/>
          <w:sz w:val="23"/>
          <w:szCs w:val="23"/>
        </w:rPr>
        <w:t xml:space="preserve"> agosto 2025 </w:t>
      </w:r>
      <w:r w:rsidR="008C25E1">
        <w:rPr>
          <w:rFonts w:ascii="Calibri" w:eastAsia="Calibri" w:hAnsi="Calibri" w:cs="Calibri"/>
          <w:sz w:val="23"/>
          <w:szCs w:val="23"/>
        </w:rPr>
        <w:t>– Invecchiano le piccole imprese italiane seguendo il trend della popolazione del Belpaese</w:t>
      </w:r>
      <w:r w:rsidRPr="0065717B">
        <w:rPr>
          <w:rFonts w:eastAsia="Calibri" w:cstheme="minorHAnsi"/>
          <w:sz w:val="23"/>
          <w:szCs w:val="23"/>
        </w:rPr>
        <w:t>. A giugno 2</w:t>
      </w:r>
      <w:bookmarkStart w:id="0" w:name="_GoBack"/>
      <w:bookmarkEnd w:id="0"/>
      <w:r w:rsidRPr="0065717B">
        <w:rPr>
          <w:rFonts w:eastAsia="Calibri" w:cstheme="minorHAnsi"/>
          <w:sz w:val="23"/>
          <w:szCs w:val="23"/>
        </w:rPr>
        <w:t xml:space="preserve">025 i titolari d’impresa con almeno 70 anni </w:t>
      </w:r>
      <w:r w:rsidR="008C25E1">
        <w:rPr>
          <w:rFonts w:eastAsia="Calibri" w:cstheme="minorHAnsi"/>
          <w:sz w:val="23"/>
          <w:szCs w:val="23"/>
        </w:rPr>
        <w:t>eran</w:t>
      </w:r>
      <w:r w:rsidRPr="0065717B">
        <w:rPr>
          <w:rFonts w:eastAsia="Calibri" w:cstheme="minorHAnsi"/>
          <w:sz w:val="23"/>
          <w:szCs w:val="23"/>
        </w:rPr>
        <w:t>o 314.824, pari al 10,7% del totale: erano 290.328 nel 2015 (8,9%). Un aumento di 24.496 unità in un decennio in cui invece l’intero universo delle imprese individuali si è ridotto di oltre 300mila unità.</w:t>
      </w:r>
      <w:r w:rsidR="00C05A35" w:rsidRPr="0065717B">
        <w:rPr>
          <w:rFonts w:eastAsia="Calibri" w:cstheme="minorHAnsi"/>
          <w:sz w:val="23"/>
          <w:szCs w:val="23"/>
        </w:rPr>
        <w:t xml:space="preserve"> </w:t>
      </w:r>
      <w:r w:rsidR="00602441">
        <w:rPr>
          <w:rFonts w:eastAsia="Calibri" w:cstheme="minorHAnsi"/>
          <w:sz w:val="23"/>
          <w:szCs w:val="23"/>
        </w:rPr>
        <w:t>È</w:t>
      </w:r>
      <w:r w:rsidR="00C05A35" w:rsidRPr="0065717B">
        <w:rPr>
          <w:rFonts w:eastAsia="Calibri" w:cstheme="minorHAnsi"/>
          <w:sz w:val="23"/>
          <w:szCs w:val="23"/>
        </w:rPr>
        <w:t xml:space="preserve"> quanto emerge da un</w:t>
      </w:r>
      <w:r w:rsidR="0065717B" w:rsidRPr="0065717B">
        <w:rPr>
          <w:rFonts w:eastAsia="Calibri" w:cstheme="minorHAnsi"/>
          <w:sz w:val="23"/>
          <w:szCs w:val="23"/>
        </w:rPr>
        <w:t xml:space="preserve">o studio di </w:t>
      </w:r>
      <w:r w:rsidR="0065717B" w:rsidRPr="0065717B">
        <w:rPr>
          <w:rFonts w:eastAsia="Calibri" w:cstheme="minorHAnsi"/>
          <w:b/>
          <w:sz w:val="23"/>
          <w:szCs w:val="23"/>
        </w:rPr>
        <w:t>Unioncamere-InfoCamere</w:t>
      </w:r>
      <w:r w:rsidR="0065717B" w:rsidRPr="0065717B">
        <w:rPr>
          <w:rFonts w:eastAsia="Calibri" w:cstheme="minorHAnsi"/>
          <w:sz w:val="23"/>
          <w:szCs w:val="23"/>
        </w:rPr>
        <w:t xml:space="preserve"> sulla base dei dati del Registro delle Imprese delle Camere di commercio.</w:t>
      </w:r>
    </w:p>
    <w:p w:rsidR="00831B78" w:rsidRPr="0065717B" w:rsidRDefault="00831B78" w:rsidP="00831B78">
      <w:pPr>
        <w:jc w:val="both"/>
        <w:rPr>
          <w:rFonts w:eastAsia="Calibri" w:cstheme="minorHAnsi"/>
          <w:sz w:val="23"/>
          <w:szCs w:val="23"/>
        </w:rPr>
      </w:pPr>
      <w:r w:rsidRPr="0065717B">
        <w:rPr>
          <w:rFonts w:eastAsia="Calibri" w:cstheme="minorHAnsi"/>
          <w:sz w:val="23"/>
          <w:szCs w:val="23"/>
        </w:rPr>
        <w:t xml:space="preserve">Il fenomeno è particolarmente accentuato nel Sud: Basilicata (15%), Abruzzo (14%), Sicilia, (13,3%), Puglia (13,2%) sono tra le regioni con la maggiore incidenza di over 70. Da segnalare anche la coppia Umbria-Marche, in cui la quota dei titolari over 70 supera il ‘muro’ del 14%. In alcune province si toccano punte record: Grosseto (18,7%), Trapani e Chieti (17,6%), Taranto (15,9%), Enna (15,6%). </w:t>
      </w:r>
      <w:r w:rsidR="00084C88" w:rsidRPr="0065717B">
        <w:rPr>
          <w:rFonts w:eastAsia="Calibri" w:cstheme="minorHAnsi"/>
          <w:sz w:val="23"/>
          <w:szCs w:val="23"/>
        </w:rPr>
        <w:t>Molto contenuta, invece, la presenza di titolari ultrasettantenni nel</w:t>
      </w:r>
      <w:r w:rsidRPr="0065717B">
        <w:rPr>
          <w:rFonts w:eastAsia="Calibri" w:cstheme="minorHAnsi"/>
          <w:sz w:val="23"/>
          <w:szCs w:val="23"/>
        </w:rPr>
        <w:t>le grandi città: Milano (6,4%</w:t>
      </w:r>
      <w:r w:rsidR="00084C88" w:rsidRPr="0065717B">
        <w:rPr>
          <w:rFonts w:eastAsia="Calibri" w:cstheme="minorHAnsi"/>
          <w:sz w:val="23"/>
          <w:szCs w:val="23"/>
        </w:rPr>
        <w:t xml:space="preserve"> sul totale</w:t>
      </w:r>
      <w:r w:rsidRPr="0065717B">
        <w:rPr>
          <w:rFonts w:eastAsia="Calibri" w:cstheme="minorHAnsi"/>
          <w:sz w:val="23"/>
          <w:szCs w:val="23"/>
        </w:rPr>
        <w:t>), Torino (6,5%), Napoli (8,3%).</w:t>
      </w:r>
    </w:p>
    <w:p w:rsidR="00084C88" w:rsidRPr="0065717B" w:rsidRDefault="00084C88" w:rsidP="00084C88">
      <w:pPr>
        <w:jc w:val="both"/>
        <w:rPr>
          <w:rFonts w:eastAsia="Calibri" w:cstheme="minorHAnsi"/>
          <w:sz w:val="23"/>
          <w:szCs w:val="23"/>
        </w:rPr>
      </w:pPr>
      <w:r w:rsidRPr="0065717B">
        <w:rPr>
          <w:rFonts w:eastAsia="Calibri" w:cstheme="minorHAnsi"/>
          <w:sz w:val="23"/>
          <w:szCs w:val="23"/>
        </w:rPr>
        <w:t xml:space="preserve">Nel decennio 2015–2025, il numero di titolari d’impresa over 70 è aumentato in oltre due terzi delle province italiane, ma con dinamiche molto diverse. In </w:t>
      </w:r>
      <w:r w:rsidRPr="0065717B">
        <w:rPr>
          <w:rFonts w:eastAsia="Calibri" w:cstheme="minorHAnsi"/>
          <w:b/>
          <w:bCs/>
          <w:sz w:val="23"/>
          <w:szCs w:val="23"/>
        </w:rPr>
        <w:t>valore assoluto</w:t>
      </w:r>
      <w:r w:rsidRPr="0065717B">
        <w:rPr>
          <w:rFonts w:eastAsia="Calibri" w:cstheme="minorHAnsi"/>
          <w:sz w:val="23"/>
          <w:szCs w:val="23"/>
        </w:rPr>
        <w:t xml:space="preserve">, le province che registrano gli incrementi più consistenti di imprenditori over 70 sono: </w:t>
      </w:r>
      <w:r w:rsidRPr="0065717B">
        <w:rPr>
          <w:rFonts w:eastAsia="Calibri" w:cstheme="minorHAnsi"/>
          <w:b/>
          <w:bCs/>
          <w:sz w:val="23"/>
          <w:szCs w:val="23"/>
        </w:rPr>
        <w:t>Palermo</w:t>
      </w:r>
      <w:r w:rsidRPr="0065717B">
        <w:rPr>
          <w:rFonts w:eastAsia="Calibri" w:cstheme="minorHAnsi"/>
          <w:sz w:val="23"/>
          <w:szCs w:val="23"/>
        </w:rPr>
        <w:t xml:space="preserve"> (+1.840) </w:t>
      </w:r>
      <w:r w:rsidRPr="0065717B">
        <w:rPr>
          <w:rFonts w:eastAsia="Calibri" w:cstheme="minorHAnsi"/>
          <w:b/>
          <w:bCs/>
          <w:sz w:val="23"/>
          <w:szCs w:val="23"/>
        </w:rPr>
        <w:t>Torino</w:t>
      </w:r>
      <w:r w:rsidRPr="0065717B">
        <w:rPr>
          <w:rFonts w:eastAsia="Calibri" w:cstheme="minorHAnsi"/>
          <w:sz w:val="23"/>
          <w:szCs w:val="23"/>
        </w:rPr>
        <w:t xml:space="preserve"> (+1.794) </w:t>
      </w:r>
      <w:r w:rsidRPr="0065717B">
        <w:rPr>
          <w:rFonts w:eastAsia="Calibri" w:cstheme="minorHAnsi"/>
          <w:b/>
          <w:bCs/>
          <w:sz w:val="23"/>
          <w:szCs w:val="23"/>
        </w:rPr>
        <w:t>Milano</w:t>
      </w:r>
      <w:r w:rsidRPr="0065717B">
        <w:rPr>
          <w:rFonts w:eastAsia="Calibri" w:cstheme="minorHAnsi"/>
          <w:sz w:val="23"/>
          <w:szCs w:val="23"/>
        </w:rPr>
        <w:t xml:space="preserve"> (+1.763) </w:t>
      </w:r>
      <w:r w:rsidRPr="0065717B">
        <w:rPr>
          <w:rFonts w:eastAsia="Calibri" w:cstheme="minorHAnsi"/>
          <w:b/>
          <w:bCs/>
          <w:sz w:val="23"/>
          <w:szCs w:val="23"/>
        </w:rPr>
        <w:t>Napoli</w:t>
      </w:r>
      <w:r w:rsidRPr="0065717B">
        <w:rPr>
          <w:rFonts w:eastAsia="Calibri" w:cstheme="minorHAnsi"/>
          <w:sz w:val="23"/>
          <w:szCs w:val="23"/>
        </w:rPr>
        <w:t xml:space="preserve"> (+1.439) </w:t>
      </w:r>
      <w:r w:rsidRPr="0065717B">
        <w:rPr>
          <w:rFonts w:eastAsia="Calibri" w:cstheme="minorHAnsi"/>
          <w:b/>
          <w:bCs/>
          <w:sz w:val="23"/>
          <w:szCs w:val="23"/>
        </w:rPr>
        <w:t>Reggio Calabria</w:t>
      </w:r>
      <w:r w:rsidRPr="0065717B">
        <w:rPr>
          <w:rFonts w:eastAsia="Calibri" w:cstheme="minorHAnsi"/>
          <w:sz w:val="23"/>
          <w:szCs w:val="23"/>
        </w:rPr>
        <w:t xml:space="preserve"> (+1.314). Aree caratterizzate in parte da una base imprenditoriale ampia e, dall’altra, dalla persistenza di modelli familiari nelle attività più tradizionali.</w:t>
      </w:r>
    </w:p>
    <w:p w:rsidR="00084C88" w:rsidRPr="0065717B" w:rsidRDefault="00084C88" w:rsidP="00831B78">
      <w:pPr>
        <w:jc w:val="both"/>
        <w:rPr>
          <w:rFonts w:eastAsia="Calibri" w:cstheme="minorHAnsi"/>
          <w:sz w:val="23"/>
          <w:szCs w:val="23"/>
        </w:rPr>
      </w:pPr>
      <w:r w:rsidRPr="0065717B">
        <w:rPr>
          <w:rFonts w:eastAsia="Calibri" w:cstheme="minorHAnsi"/>
          <w:sz w:val="23"/>
          <w:szCs w:val="23"/>
        </w:rPr>
        <w:t xml:space="preserve">Quanto alle </w:t>
      </w:r>
      <w:r w:rsidRPr="0065717B">
        <w:rPr>
          <w:rFonts w:eastAsia="Calibri" w:cstheme="minorHAnsi"/>
          <w:b/>
          <w:bCs/>
          <w:sz w:val="23"/>
          <w:szCs w:val="23"/>
        </w:rPr>
        <w:t>variazioni nel peso percentuale</w:t>
      </w:r>
      <w:r w:rsidRPr="0065717B">
        <w:rPr>
          <w:rFonts w:eastAsia="Calibri" w:cstheme="minorHAnsi"/>
          <w:sz w:val="23"/>
          <w:szCs w:val="23"/>
        </w:rPr>
        <w:t xml:space="preserve"> degli over 70 sul totale dei titolari, nell’arco del decennio considerato emergono province dove l’invecchiamento è particolarmente rapido: è il caso di </w:t>
      </w:r>
      <w:r w:rsidRPr="0065717B">
        <w:rPr>
          <w:rFonts w:eastAsia="Calibri" w:cstheme="minorHAnsi"/>
          <w:b/>
          <w:bCs/>
          <w:sz w:val="23"/>
          <w:szCs w:val="23"/>
        </w:rPr>
        <w:t>Enna</w:t>
      </w:r>
      <w:r w:rsidRPr="0065717B">
        <w:rPr>
          <w:rFonts w:eastAsia="Calibri" w:cstheme="minorHAnsi"/>
          <w:sz w:val="23"/>
          <w:szCs w:val="23"/>
        </w:rPr>
        <w:t xml:space="preserve"> +5,2 punti percentuali, </w:t>
      </w:r>
      <w:r w:rsidRPr="0065717B">
        <w:rPr>
          <w:rFonts w:eastAsia="Calibri" w:cstheme="minorHAnsi"/>
          <w:b/>
          <w:bCs/>
          <w:sz w:val="23"/>
          <w:szCs w:val="23"/>
        </w:rPr>
        <w:t>Crotone</w:t>
      </w:r>
      <w:r w:rsidRPr="0065717B">
        <w:rPr>
          <w:rFonts w:eastAsia="Calibri" w:cstheme="minorHAnsi"/>
          <w:sz w:val="23"/>
          <w:szCs w:val="23"/>
        </w:rPr>
        <w:t xml:space="preserve">: +4,8 punti, </w:t>
      </w:r>
      <w:r w:rsidRPr="0065717B">
        <w:rPr>
          <w:rFonts w:eastAsia="Calibri" w:cstheme="minorHAnsi"/>
          <w:b/>
          <w:bCs/>
          <w:sz w:val="23"/>
          <w:szCs w:val="23"/>
        </w:rPr>
        <w:t>Chieti</w:t>
      </w:r>
      <w:r w:rsidRPr="0065717B">
        <w:rPr>
          <w:rFonts w:eastAsia="Calibri" w:cstheme="minorHAnsi"/>
          <w:sz w:val="23"/>
          <w:szCs w:val="23"/>
        </w:rPr>
        <w:t xml:space="preserve">: +4,6 punti, </w:t>
      </w:r>
      <w:r w:rsidRPr="0065717B">
        <w:rPr>
          <w:rFonts w:eastAsia="Calibri" w:cstheme="minorHAnsi"/>
          <w:b/>
          <w:bCs/>
          <w:sz w:val="23"/>
          <w:szCs w:val="23"/>
        </w:rPr>
        <w:t>Vibo Valentia</w:t>
      </w:r>
      <w:r w:rsidRPr="0065717B">
        <w:rPr>
          <w:rFonts w:eastAsia="Calibri" w:cstheme="minorHAnsi"/>
          <w:sz w:val="23"/>
          <w:szCs w:val="23"/>
        </w:rPr>
        <w:t xml:space="preserve">: +4,5 punti, </w:t>
      </w:r>
      <w:r w:rsidRPr="0065717B">
        <w:rPr>
          <w:rFonts w:eastAsia="Calibri" w:cstheme="minorHAnsi"/>
          <w:b/>
          <w:bCs/>
          <w:sz w:val="23"/>
          <w:szCs w:val="23"/>
        </w:rPr>
        <w:t>Grosseto</w:t>
      </w:r>
      <w:r w:rsidRPr="0065717B">
        <w:rPr>
          <w:rFonts w:eastAsia="Calibri" w:cstheme="minorHAnsi"/>
          <w:sz w:val="23"/>
          <w:szCs w:val="23"/>
        </w:rPr>
        <w:t xml:space="preserve"> +4,3 punti (18,7%). In queste realtà – spesso rurali, del Sud o interne – il dato segnala una fragilità strutturale: si tratta di microimprese tradizionali, spesso a conduzione familiare, dove mancano ricambi generazionali e attrattività per i giovani. Questa polarizzazione territoriale solleva interrogativi su </w:t>
      </w:r>
      <w:r w:rsidRPr="0065717B">
        <w:rPr>
          <w:rFonts w:eastAsia="Calibri" w:cstheme="minorHAnsi"/>
          <w:bCs/>
          <w:sz w:val="23"/>
          <w:szCs w:val="23"/>
        </w:rPr>
        <w:t>come sostenere il passaggio generazionale</w:t>
      </w:r>
      <w:r w:rsidRPr="0065717B">
        <w:rPr>
          <w:rFonts w:eastAsia="Calibri" w:cstheme="minorHAnsi"/>
          <w:sz w:val="23"/>
          <w:szCs w:val="23"/>
        </w:rPr>
        <w:t xml:space="preserve"> e su </w:t>
      </w:r>
      <w:r w:rsidRPr="0065717B">
        <w:rPr>
          <w:rFonts w:eastAsia="Calibri" w:cstheme="minorHAnsi"/>
          <w:bCs/>
          <w:sz w:val="23"/>
          <w:szCs w:val="23"/>
        </w:rPr>
        <w:t>quali politiche attivare per accompagnare l’uscita degli imprenditori anziani</w:t>
      </w:r>
      <w:r w:rsidRPr="0065717B">
        <w:rPr>
          <w:rFonts w:eastAsia="Calibri" w:cstheme="minorHAnsi"/>
          <w:sz w:val="23"/>
          <w:szCs w:val="23"/>
        </w:rPr>
        <w:t>, garantendo continuità alle attività economiche più radicate nel tessuto locale.</w:t>
      </w:r>
    </w:p>
    <w:p w:rsidR="00157111" w:rsidRPr="0065717B" w:rsidRDefault="00831B78" w:rsidP="00831B78">
      <w:pPr>
        <w:jc w:val="both"/>
        <w:rPr>
          <w:rFonts w:eastAsia="Calibri" w:cstheme="minorHAnsi"/>
          <w:sz w:val="23"/>
          <w:szCs w:val="23"/>
        </w:rPr>
      </w:pPr>
      <w:r w:rsidRPr="0065717B">
        <w:rPr>
          <w:rFonts w:eastAsia="Calibri" w:cstheme="minorHAnsi"/>
          <w:sz w:val="23"/>
          <w:szCs w:val="23"/>
        </w:rPr>
        <w:t xml:space="preserve">Il settore dove il fenomeno è </w:t>
      </w:r>
      <w:r w:rsidRPr="0065717B">
        <w:rPr>
          <w:rFonts w:eastAsia="Calibri" w:cstheme="minorHAnsi"/>
          <w:b/>
          <w:sz w:val="23"/>
          <w:szCs w:val="23"/>
        </w:rPr>
        <w:t>più marcato</w:t>
      </w:r>
      <w:r w:rsidRPr="0065717B">
        <w:rPr>
          <w:rFonts w:eastAsia="Calibri" w:cstheme="minorHAnsi"/>
          <w:sz w:val="23"/>
          <w:szCs w:val="23"/>
        </w:rPr>
        <w:t xml:space="preserve"> è </w:t>
      </w:r>
      <w:r w:rsidRPr="0065717B">
        <w:rPr>
          <w:rFonts w:eastAsia="Calibri" w:cstheme="minorHAnsi"/>
          <w:b/>
          <w:sz w:val="23"/>
          <w:szCs w:val="23"/>
        </w:rPr>
        <w:t>l’agricoltura</w:t>
      </w:r>
      <w:r w:rsidRPr="0065717B">
        <w:rPr>
          <w:rFonts w:eastAsia="Calibri" w:cstheme="minorHAnsi"/>
          <w:sz w:val="23"/>
          <w:szCs w:val="23"/>
        </w:rPr>
        <w:t xml:space="preserve">: qui quasi un titolare su tre (28,3%) ha almeno 70 anni. Seguono le attività estrattive (50,7%, su valori assoluti però molto piccoli), la fornitura di energia (20,1%) e l’artigianato manifatturiero (9,6%). </w:t>
      </w:r>
      <w:r w:rsidRPr="0065717B">
        <w:rPr>
          <w:rFonts w:eastAsia="Calibri" w:cstheme="minorHAnsi"/>
          <w:b/>
          <w:sz w:val="23"/>
          <w:szCs w:val="23"/>
        </w:rPr>
        <w:t>In fondo alla classifica, i comparti più innovativi</w:t>
      </w:r>
      <w:r w:rsidRPr="0065717B">
        <w:rPr>
          <w:rFonts w:eastAsia="Calibri" w:cstheme="minorHAnsi"/>
          <w:sz w:val="23"/>
          <w:szCs w:val="23"/>
        </w:rPr>
        <w:t xml:space="preserve"> come ICT (4,2%) e consulenza (4,9%).</w:t>
      </w:r>
      <w:r w:rsidR="00601B65" w:rsidRPr="0065717B">
        <w:rPr>
          <w:rFonts w:eastAsia="Calibri" w:cstheme="minorHAnsi"/>
          <w:sz w:val="23"/>
          <w:szCs w:val="23"/>
        </w:rPr>
        <w:t xml:space="preserve"> </w:t>
      </w:r>
      <w:r w:rsidRPr="0065717B">
        <w:rPr>
          <w:rFonts w:eastAsia="Calibri" w:cstheme="minorHAnsi"/>
          <w:sz w:val="23"/>
          <w:szCs w:val="23"/>
        </w:rPr>
        <w:t>L’invecchiamento dei titolari riflette una doppia dinamica: da un lato il rallentamento del ricambio generazionale, dall’altro la resistenza – anche culturale – a cedere la guida dell’attività. Il dato preoccupa soprattutto per le piccole imprese tradizionali, spesso familiari e radicate nel territorio, dove il passaggio di testimone è cruciale per garantirne la sopravvivenza.</w:t>
      </w:r>
      <w:r w:rsidR="00157111" w:rsidRPr="0065717B">
        <w:rPr>
          <w:rFonts w:ascii="Calibri" w:eastAsia="Calibri" w:hAnsi="Calibri" w:cs="Calibri"/>
          <w:color w:val="808080"/>
          <w:sz w:val="23"/>
          <w:szCs w:val="23"/>
        </w:rPr>
        <w:br w:type="page"/>
      </w:r>
    </w:p>
    <w:p w:rsidR="00904F04" w:rsidRPr="00601B65" w:rsidRDefault="00601B65" w:rsidP="00601B65">
      <w:pPr>
        <w:spacing w:after="0"/>
        <w:rPr>
          <w:b/>
        </w:rPr>
      </w:pPr>
      <w:r w:rsidRPr="00601B65">
        <w:rPr>
          <w:b/>
        </w:rPr>
        <w:lastRenderedPageBreak/>
        <w:t>Tab. 1 – Titolari di imprese individuali per regione della sede d’impresa</w:t>
      </w:r>
    </w:p>
    <w:p w:rsidR="00C05A35" w:rsidRPr="005B793B" w:rsidRDefault="00601B65" w:rsidP="00601B65">
      <w:pPr>
        <w:spacing w:after="0"/>
        <w:rPr>
          <w:i/>
        </w:rPr>
      </w:pPr>
      <w:r w:rsidRPr="005B793B">
        <w:rPr>
          <w:i/>
        </w:rPr>
        <w:t>Confronto giugno 2025/giugno 2015 – Graduatoria per variazioni assolute</w:t>
      </w:r>
      <w:r w:rsidR="00E5169A">
        <w:rPr>
          <w:i/>
        </w:rPr>
        <w:t xml:space="preserve"> degli</w:t>
      </w:r>
      <w:r w:rsidRPr="005B793B">
        <w:rPr>
          <w:i/>
        </w:rPr>
        <w:t xml:space="preserve"> </w:t>
      </w:r>
      <w:r w:rsidR="00E5169A">
        <w:rPr>
          <w:i/>
        </w:rPr>
        <w:t xml:space="preserve">over 70 </w:t>
      </w:r>
      <w:r w:rsidRPr="005B793B">
        <w:rPr>
          <w:i/>
        </w:rPr>
        <w:t>nel periodo</w:t>
      </w:r>
    </w:p>
    <w:tbl>
      <w:tblPr>
        <w:tblW w:w="9133" w:type="dxa"/>
        <w:tblCellMar>
          <w:left w:w="0" w:type="dxa"/>
          <w:right w:w="0" w:type="dxa"/>
        </w:tblCellMar>
        <w:tblLook w:val="04A0"/>
      </w:tblPr>
      <w:tblGrid>
        <w:gridCol w:w="2400"/>
        <w:gridCol w:w="1140"/>
        <w:gridCol w:w="1120"/>
        <w:gridCol w:w="1152"/>
        <w:gridCol w:w="1028"/>
        <w:gridCol w:w="1098"/>
        <w:gridCol w:w="1185"/>
        <w:gridCol w:w="10"/>
      </w:tblGrid>
      <w:tr w:rsidR="00D3636E" w:rsidRPr="005B793B" w:rsidTr="000A5DC1">
        <w:trPr>
          <w:trHeight w:hRule="exact" w:val="255"/>
        </w:trPr>
        <w:tc>
          <w:tcPr>
            <w:tcW w:w="24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3636E" w:rsidRPr="005B793B" w:rsidRDefault="00D3636E" w:rsidP="00157111">
            <w:pPr>
              <w:spacing w:after="0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  <w:p w:rsidR="00D3636E" w:rsidRPr="005B793B" w:rsidRDefault="00D3636E" w:rsidP="00157111">
            <w:pPr>
              <w:spacing w:after="0"/>
              <w:rPr>
                <w:rFonts w:cstheme="minorHAnsi"/>
                <w:b/>
                <w:sz w:val="18"/>
              </w:rPr>
            </w:pPr>
            <w:r w:rsidRPr="005B793B">
              <w:rPr>
                <w:rFonts w:cstheme="minorHAnsi"/>
                <w:b/>
                <w:color w:val="000000"/>
                <w:sz w:val="18"/>
                <w:szCs w:val="18"/>
              </w:rPr>
              <w:t>Regione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3636E" w:rsidRPr="005B793B" w:rsidRDefault="00D3636E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>Giugno 2025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3636E" w:rsidRPr="005B793B" w:rsidRDefault="00D3636E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>Variazioni 2015 - 2025</w:t>
            </w:r>
          </w:p>
        </w:tc>
      </w:tr>
      <w:tr w:rsidR="00D3636E" w:rsidRPr="005B793B" w:rsidTr="000A5DC1">
        <w:trPr>
          <w:gridAfter w:val="1"/>
          <w:wAfter w:w="10" w:type="dxa"/>
          <w:trHeight w:hRule="exact" w:val="440"/>
        </w:trPr>
        <w:tc>
          <w:tcPr>
            <w:tcW w:w="24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3636E" w:rsidRPr="005B793B" w:rsidRDefault="00D3636E" w:rsidP="00157111">
            <w:pPr>
              <w:spacing w:after="0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3636E" w:rsidRPr="005B793B" w:rsidRDefault="00D3636E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 xml:space="preserve">Titolari </w:t>
            </w:r>
          </w:p>
          <w:p w:rsidR="00D3636E" w:rsidRPr="005B793B" w:rsidRDefault="00D3636E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>&gt;= 70 anni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B793B" w:rsidRDefault="00D3636E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>Totale</w:t>
            </w:r>
          </w:p>
          <w:p w:rsidR="00D3636E" w:rsidRPr="005B793B" w:rsidRDefault="00D3636E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>titolari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A5DC1" w:rsidRDefault="00D3636E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>% over 70</w:t>
            </w:r>
            <w:r w:rsid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 xml:space="preserve"> </w:t>
            </w:r>
          </w:p>
          <w:p w:rsidR="00D3636E" w:rsidRPr="005B793B" w:rsidRDefault="005B793B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>sul totale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3636E" w:rsidRPr="005B793B" w:rsidRDefault="00D3636E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>&gt;= 70 anni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3636E" w:rsidRPr="005B793B" w:rsidRDefault="00D3636E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 xml:space="preserve">Totale </w:t>
            </w:r>
          </w:p>
          <w:p w:rsidR="00D3636E" w:rsidRPr="005B793B" w:rsidRDefault="00D3636E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>titolari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3636E" w:rsidRPr="005B793B" w:rsidRDefault="00D3636E" w:rsidP="005B7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 xml:space="preserve">Punti % </w:t>
            </w:r>
            <w:r w:rsidR="005B793B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 xml:space="preserve"> sul totale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 w:rsidP="0015711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LOMBARDIA            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 w:rsidP="0015711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28.191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 w:rsidP="0015711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395.619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 w:rsidP="000A5DC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7,1%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 w:rsidP="0015711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5.368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 w:rsidP="0015711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-32.159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 w:rsidP="00157111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1,8%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SICILIA 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34.497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259.524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13,3%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3.885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-20.167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2,3%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PUGLIA  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29.236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222.199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13,2%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3.224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-22.488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2,5%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CALABRIA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14.646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112.721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13,0%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2.975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-7.585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3,3%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TOSCANA 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20.783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197.485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10,5%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2.883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-18.054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2,2%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CAMPANIA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29.512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295.394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10,0%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2.841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-7.538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1,2%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PIEMONTE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19.548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233.399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8,4%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2.059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-22.057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1,5%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ABRUZZO 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10.708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76.425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14,0%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1.381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-12.216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3,5%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LIGURIA 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6.885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82.627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8,3%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1.252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-5.500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1,9%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BASILICATA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5.401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36.096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15,0%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1.025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-3.657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4,0%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SARDEGNA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9.476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93.796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10,1%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949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-7.110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1,7%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VENETO  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26.188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229.691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11,4%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869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-30.193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1,7%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TRENTINO - ALTO ADIGE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7.333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64.363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11,4%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661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-236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1,1%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MOLISE  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2.581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20.256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12,7%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305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-3.213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3,0%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VALLE D'AOSTA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6.386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8,2%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113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-604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2,3%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EMILIA ROMAGNA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25.386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211.786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12,0%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-13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-30.257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1,5%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UMBRIA  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6.632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44.979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14,7%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-44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-6.087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1,7%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FRIULI-VENEZIA GIULIA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6.100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51.652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11,8%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-115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-6.255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1,1%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LAZIO   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20.601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229.965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9,0%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-2.458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-44.058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0,5%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 xml:space="preserve">MARCHE             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10.594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74.881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0A5DC1" w:rsidRDefault="00904F0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A5DC1">
              <w:rPr>
                <w:rFonts w:ascii="Calibri" w:hAnsi="Calibri" w:cs="Calibri"/>
                <w:sz w:val="18"/>
                <w:szCs w:val="18"/>
              </w:rPr>
              <w:t>14,1%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-2.664</w:t>
            </w:r>
          </w:p>
        </w:tc>
        <w:tc>
          <w:tcPr>
            <w:tcW w:w="10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-23.757</w:t>
            </w:r>
          </w:p>
        </w:tc>
        <w:tc>
          <w:tcPr>
            <w:tcW w:w="11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sz w:val="18"/>
                <w:szCs w:val="18"/>
              </w:rPr>
            </w:pPr>
            <w:r w:rsidRPr="005B793B">
              <w:rPr>
                <w:rFonts w:cstheme="minorHAnsi"/>
                <w:sz w:val="18"/>
                <w:szCs w:val="18"/>
              </w:rPr>
              <w:t>0,7%</w:t>
            </w:r>
          </w:p>
        </w:tc>
      </w:tr>
      <w:tr w:rsidR="00904F04" w:rsidRPr="005B793B" w:rsidTr="000A5DC1">
        <w:trPr>
          <w:gridAfter w:val="1"/>
          <w:wAfter w:w="10" w:type="dxa"/>
          <w:trHeight w:hRule="exact" w:val="255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04F04" w:rsidRPr="005B793B" w:rsidRDefault="00904F0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B793B">
              <w:rPr>
                <w:rFonts w:cstheme="minorHAns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5B793B">
              <w:rPr>
                <w:rFonts w:cstheme="minorHAnsi"/>
                <w:b/>
                <w:bCs/>
                <w:sz w:val="18"/>
                <w:szCs w:val="18"/>
              </w:rPr>
              <w:t>314.824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5B793B">
              <w:rPr>
                <w:rFonts w:cstheme="minorHAnsi"/>
                <w:b/>
                <w:bCs/>
                <w:sz w:val="18"/>
                <w:szCs w:val="18"/>
              </w:rPr>
              <w:t>2.939.244</w:t>
            </w: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904F04" w:rsidRPr="001264A7" w:rsidRDefault="00904F04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1264A7">
              <w:rPr>
                <w:rFonts w:ascii="Calibri" w:hAnsi="Calibri" w:cs="Calibri"/>
                <w:b/>
                <w:sz w:val="18"/>
                <w:szCs w:val="18"/>
              </w:rPr>
              <w:t>10,7%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5B793B">
              <w:rPr>
                <w:rFonts w:cstheme="minorHAnsi"/>
                <w:b/>
                <w:bCs/>
                <w:sz w:val="18"/>
                <w:szCs w:val="18"/>
              </w:rPr>
              <w:t>24.496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5B793B">
              <w:rPr>
                <w:rFonts w:cstheme="minorHAnsi"/>
                <w:b/>
                <w:bCs/>
                <w:sz w:val="18"/>
                <w:szCs w:val="18"/>
              </w:rPr>
              <w:t>-303.191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4F04" w:rsidRPr="005B793B" w:rsidRDefault="00904F04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5B793B">
              <w:rPr>
                <w:rFonts w:cstheme="minorHAnsi"/>
                <w:b/>
                <w:bCs/>
                <w:sz w:val="18"/>
                <w:szCs w:val="18"/>
              </w:rPr>
              <w:t>1,8%</w:t>
            </w:r>
          </w:p>
        </w:tc>
      </w:tr>
    </w:tbl>
    <w:p w:rsidR="00601B65" w:rsidRPr="00601B65" w:rsidRDefault="00904F04" w:rsidP="00601B65">
      <w:pPr>
        <w:spacing w:after="0"/>
        <w:rPr>
          <w:i/>
          <w:sz w:val="18"/>
        </w:rPr>
      </w:pPr>
      <w:r w:rsidRPr="00601B65">
        <w:rPr>
          <w:i/>
          <w:sz w:val="18"/>
        </w:rPr>
        <w:t xml:space="preserve"> </w:t>
      </w:r>
      <w:r w:rsidR="0065717B">
        <w:rPr>
          <w:i/>
          <w:sz w:val="18"/>
        </w:rPr>
        <w:t>Fonte: Unioncamere-InfoCamere</w:t>
      </w:r>
    </w:p>
    <w:p w:rsidR="00601B65" w:rsidRDefault="00601B65" w:rsidP="00601B65">
      <w:pPr>
        <w:spacing w:after="0"/>
      </w:pPr>
    </w:p>
    <w:p w:rsidR="00601B65" w:rsidRPr="00601B65" w:rsidRDefault="00601B65" w:rsidP="00601B65">
      <w:pPr>
        <w:spacing w:after="0"/>
        <w:rPr>
          <w:b/>
        </w:rPr>
      </w:pPr>
      <w:r>
        <w:rPr>
          <w:b/>
        </w:rPr>
        <w:t>Tab. 2</w:t>
      </w:r>
      <w:r w:rsidRPr="00601B65">
        <w:rPr>
          <w:b/>
        </w:rPr>
        <w:t xml:space="preserve"> – Titolari di imprese individuali per regione della sede d’impresa</w:t>
      </w:r>
    </w:p>
    <w:p w:rsidR="00C05A35" w:rsidRPr="005B793B" w:rsidRDefault="00601B65" w:rsidP="00601B65">
      <w:pPr>
        <w:spacing w:after="0"/>
        <w:rPr>
          <w:i/>
        </w:rPr>
      </w:pPr>
      <w:r w:rsidRPr="005B793B">
        <w:rPr>
          <w:i/>
        </w:rPr>
        <w:t>Confronto giugno 2025/giugno 2015 – Graduatoria per variazioni del peso % degli over 70 nel periodo</w:t>
      </w:r>
    </w:p>
    <w:tbl>
      <w:tblPr>
        <w:tblW w:w="9255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2400"/>
        <w:gridCol w:w="1144"/>
        <w:gridCol w:w="1120"/>
        <w:gridCol w:w="1148"/>
        <w:gridCol w:w="1139"/>
        <w:gridCol w:w="1281"/>
        <w:gridCol w:w="992"/>
        <w:gridCol w:w="31"/>
      </w:tblGrid>
      <w:tr w:rsidR="00D3636E" w:rsidRPr="00D3636E" w:rsidTr="005B793B">
        <w:trPr>
          <w:trHeight w:hRule="exact" w:val="255"/>
        </w:trPr>
        <w:tc>
          <w:tcPr>
            <w:tcW w:w="24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D3636E" w:rsidRPr="00D3636E" w:rsidRDefault="00D3636E" w:rsidP="00157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it-IT"/>
              </w:rPr>
            </w:pPr>
          </w:p>
          <w:p w:rsidR="00D3636E" w:rsidRPr="00D3636E" w:rsidRDefault="00D3636E" w:rsidP="00157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Regione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36E" w:rsidRPr="00D3636E" w:rsidRDefault="00D3636E" w:rsidP="0015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>Giugno 2025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3636E" w:rsidRPr="00D3636E" w:rsidRDefault="00D3636E" w:rsidP="0015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it-IT"/>
              </w:rPr>
              <w:t>Variazioni 2015 - 2025</w:t>
            </w:r>
          </w:p>
        </w:tc>
      </w:tr>
      <w:tr w:rsidR="00D3636E" w:rsidRPr="00D3636E" w:rsidTr="005B793B">
        <w:trPr>
          <w:gridAfter w:val="1"/>
          <w:wAfter w:w="31" w:type="dxa"/>
          <w:trHeight w:hRule="exact" w:val="552"/>
        </w:trPr>
        <w:tc>
          <w:tcPr>
            <w:tcW w:w="24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3636E" w:rsidRPr="00D3636E" w:rsidRDefault="00D3636E" w:rsidP="0015711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D3636E" w:rsidRPr="00D3636E" w:rsidRDefault="00D3636E" w:rsidP="0015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Titolari </w:t>
            </w:r>
          </w:p>
          <w:p w:rsidR="00D3636E" w:rsidRPr="00D3636E" w:rsidRDefault="00D3636E" w:rsidP="0015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&gt;= 70 anni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D3636E" w:rsidRPr="00D3636E" w:rsidRDefault="00D3636E" w:rsidP="0015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Totale titolari</w:t>
            </w:r>
          </w:p>
        </w:tc>
        <w:tc>
          <w:tcPr>
            <w:tcW w:w="11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36E" w:rsidRPr="00D3636E" w:rsidRDefault="00D3636E" w:rsidP="0015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% over 70 sul totale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3636E" w:rsidRPr="00D3636E" w:rsidRDefault="00D3636E" w:rsidP="0015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&gt;= 70 anni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D3636E" w:rsidRPr="00D3636E" w:rsidRDefault="00D3636E" w:rsidP="0015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Totale </w:t>
            </w:r>
          </w:p>
          <w:p w:rsidR="00D3636E" w:rsidRPr="00D3636E" w:rsidRDefault="00D3636E" w:rsidP="0015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titolari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D3636E" w:rsidRPr="00D3636E" w:rsidRDefault="00D3636E" w:rsidP="0015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Punti % </w:t>
            </w:r>
            <w:r w:rsidR="005B793B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sul totale</w:t>
            </w:r>
          </w:p>
          <w:p w:rsidR="00D3636E" w:rsidRPr="00D3636E" w:rsidRDefault="00D3636E" w:rsidP="0015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BASILICATA            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5.401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36.096</w:t>
            </w: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15,0%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1.025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-3.657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4,0%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ABRUZZO 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10.708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76.425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14,0%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1.381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-12.216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3,5%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CALABRIA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14.646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112.721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13,0%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2.975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-7.585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3,3%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MOLISE  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2.581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20.256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12,7%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-3.213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3,0%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PUGLIA  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29.236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222.199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13,2%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3.224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-22.488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2,5%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SICILIA 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34.497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259.524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13,3%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3.885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-20.167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2,3%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VALLE D'AOSTA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526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6.386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8,2%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-604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2,3%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TOSCANA 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20.783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197.485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10,5%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2.883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-18.054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2,2%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LIGURIA 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6.885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82.627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8,3%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1.252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-5.500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1,9%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LOMBARDIA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28.191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395.619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7,1%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5.368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-32.159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1,8%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UMBRIA  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6.632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44.979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14,7%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-44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-6.087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1,7%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VENETO  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26.188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229.691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11,4%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869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-30.193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1,7%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SARDEGNA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9.476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93.796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10,1%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949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-7.110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1,7%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PIEMONTE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19.548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233.399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8,4%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2.059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-22.057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1,5%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EMILIA ROMAGNA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25.386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211.786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12,0%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-13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-30.257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1,5%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CAMPANIA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29.512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295.394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10,0%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2.841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-7.538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1,2%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FRIULI-VENEZIA GIULIA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6.100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51.652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11,8%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-115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-6.255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1,1%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TRENTINO - ALTO ADIGE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7.333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64.363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11,4%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661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-236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1,1%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MARCHE  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10.594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74.881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14,1%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-2.664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-23.757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0,7%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 xml:space="preserve">LAZIO                 </w:t>
            </w:r>
          </w:p>
        </w:tc>
        <w:tc>
          <w:tcPr>
            <w:tcW w:w="114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20.601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229.965</w:t>
            </w:r>
          </w:p>
        </w:tc>
        <w:tc>
          <w:tcPr>
            <w:tcW w:w="114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9,0%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-2.458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-44.058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05A35">
              <w:rPr>
                <w:rFonts w:ascii="Calibri" w:hAnsi="Calibri" w:cs="Calibri"/>
                <w:sz w:val="18"/>
                <w:szCs w:val="18"/>
              </w:rPr>
              <w:t>0,5%</w:t>
            </w:r>
          </w:p>
        </w:tc>
      </w:tr>
      <w:tr w:rsidR="007D0DD9" w:rsidRPr="003E0852" w:rsidTr="005B793B">
        <w:trPr>
          <w:gridAfter w:val="1"/>
          <w:wAfter w:w="31" w:type="dxa"/>
          <w:trHeight w:hRule="exact" w:val="255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D0DD9" w:rsidRPr="00C05A35" w:rsidRDefault="007D0DD9" w:rsidP="001571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C05A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C05A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314.824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C05A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2.939.244</w:t>
            </w:r>
          </w:p>
        </w:tc>
        <w:tc>
          <w:tcPr>
            <w:tcW w:w="11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C05A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10,7%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C05A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24.496</w:t>
            </w:r>
          </w:p>
        </w:tc>
        <w:tc>
          <w:tcPr>
            <w:tcW w:w="12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C05A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-303.191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D9" w:rsidRPr="00C05A35" w:rsidRDefault="007D0DD9" w:rsidP="00157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C05A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1,8%</w:t>
            </w:r>
          </w:p>
        </w:tc>
      </w:tr>
    </w:tbl>
    <w:p w:rsidR="00601B65" w:rsidRPr="00601B65" w:rsidRDefault="0065717B" w:rsidP="00601B65">
      <w:pPr>
        <w:spacing w:after="0"/>
        <w:rPr>
          <w:i/>
          <w:sz w:val="18"/>
        </w:rPr>
      </w:pPr>
      <w:r>
        <w:rPr>
          <w:i/>
          <w:sz w:val="18"/>
        </w:rPr>
        <w:t xml:space="preserve">Fonte: </w:t>
      </w:r>
      <w:proofErr w:type="spellStart"/>
      <w:r>
        <w:rPr>
          <w:i/>
          <w:sz w:val="18"/>
        </w:rPr>
        <w:t>Unioncamere-InfoCamere</w:t>
      </w:r>
      <w:proofErr w:type="spellEnd"/>
    </w:p>
    <w:p w:rsidR="00C05A35" w:rsidRDefault="00C05A35">
      <w:pPr>
        <w:rPr>
          <w:b/>
        </w:rPr>
      </w:pPr>
      <w:r>
        <w:rPr>
          <w:b/>
        </w:rPr>
        <w:br w:type="page"/>
      </w:r>
    </w:p>
    <w:p w:rsidR="00E37402" w:rsidRPr="00601B65" w:rsidRDefault="00E5169A" w:rsidP="00E37402">
      <w:pPr>
        <w:spacing w:after="0"/>
        <w:rPr>
          <w:b/>
        </w:rPr>
      </w:pPr>
      <w:r>
        <w:rPr>
          <w:b/>
        </w:rPr>
        <w:lastRenderedPageBreak/>
        <w:t>Tab. 3</w:t>
      </w:r>
      <w:r w:rsidR="00E37402" w:rsidRPr="00601B65">
        <w:rPr>
          <w:b/>
        </w:rPr>
        <w:t xml:space="preserve"> – Titolari di imprese individuali per </w:t>
      </w:r>
      <w:r w:rsidR="00E37402">
        <w:rPr>
          <w:b/>
        </w:rPr>
        <w:t xml:space="preserve">settore di attività </w:t>
      </w:r>
    </w:p>
    <w:p w:rsidR="00D458C8" w:rsidRPr="00B82470" w:rsidRDefault="00E37402" w:rsidP="00E37402">
      <w:pPr>
        <w:spacing w:after="0"/>
        <w:rPr>
          <w:i/>
        </w:rPr>
      </w:pPr>
      <w:r w:rsidRPr="00B82470">
        <w:rPr>
          <w:i/>
        </w:rPr>
        <w:t>Distribuzione delle imprese al 30 giugno 2025</w:t>
      </w:r>
    </w:p>
    <w:p w:rsidR="00E37402" w:rsidRDefault="00E37402" w:rsidP="00E37402">
      <w:pPr>
        <w:spacing w:after="0"/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5366"/>
        <w:gridCol w:w="1297"/>
        <w:gridCol w:w="1134"/>
        <w:gridCol w:w="1134"/>
      </w:tblGrid>
      <w:tr w:rsidR="00D458C8" w:rsidRPr="00D3636E" w:rsidTr="00B82470">
        <w:trPr>
          <w:trHeight w:val="510"/>
        </w:trPr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458C8" w:rsidRPr="00D3636E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Settore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458C8" w:rsidRPr="00D3636E" w:rsidRDefault="00D458C8" w:rsidP="00D4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&gt;= 70 anni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458C8" w:rsidRPr="00D3636E" w:rsidRDefault="00D458C8" w:rsidP="00D4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Totale titolari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458C8" w:rsidRPr="00D3636E" w:rsidRDefault="00D458C8" w:rsidP="00D4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D3636E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% over 70 sul totale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 Agricoltura, silvicoltura e pesca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160.498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566.451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28,3%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B Attività estrattive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50,7%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 Attività manifatturiere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18.052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188.531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9,6%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 Fornitura di energia elettr</w:t>
            </w:r>
            <w:r w:rsidR="000F470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ica, Gas, vapore e aria condizionata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2.255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20,1%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E Fornitura di acqua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1.663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15,5%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 Costruzioni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19.290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447.788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4,3%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G Commercio all'ingrosso e al dettaglio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58.801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749.432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7,8%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H Trasporto e magazzinaggio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6.553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77.876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8,4%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 Attività dei servizi di alloggio e di ristorazione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12.618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190.202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6,6%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J Attività editoriali, trasmi</w:t>
            </w:r>
            <w:r w:rsidR="000F470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ssioni radiofoniche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6.068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10,3%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K Telecomunicazioni, programm</w:t>
            </w:r>
            <w:r w:rsidR="000F4703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azione e consulenza informatica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1.527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36.394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4,2%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L Attività finanziarie e assicurative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4.864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88.481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5,5%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 Attività immobiliari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3.226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39.746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8,1%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N Attività professionali, scientifiche e tecniche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4.103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83.846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4,9%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O Attività amministrative e di servizi di supporto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4.080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111.539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3,7%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Q Istruzione e formazione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9.139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6,2%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 Attività per la salute umana e di assistenza sociale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5.016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9,8%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 Attività artistiche, sportive e di divertimento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1.553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22.702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6,8%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T Altre attività di servizi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14.027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247.765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5,7%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X Imprese non classificate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3.052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63.973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4,8%</w:t>
            </w:r>
          </w:p>
        </w:tc>
      </w:tr>
      <w:tr w:rsidR="00D458C8" w:rsidRPr="00D458C8" w:rsidTr="00B82470">
        <w:trPr>
          <w:trHeight w:val="255"/>
        </w:trPr>
        <w:tc>
          <w:tcPr>
            <w:tcW w:w="53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458C8" w:rsidRPr="00D458C8" w:rsidRDefault="00D458C8" w:rsidP="00D45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314.824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2.939.244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8C8" w:rsidRPr="00D458C8" w:rsidRDefault="00D458C8" w:rsidP="00D4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D458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10,7%</w:t>
            </w:r>
          </w:p>
        </w:tc>
      </w:tr>
    </w:tbl>
    <w:p w:rsidR="00601B65" w:rsidRPr="00601B65" w:rsidRDefault="0065717B" w:rsidP="00601B65">
      <w:pPr>
        <w:spacing w:after="0"/>
        <w:rPr>
          <w:i/>
          <w:sz w:val="18"/>
        </w:rPr>
      </w:pPr>
      <w:r>
        <w:rPr>
          <w:i/>
          <w:sz w:val="18"/>
        </w:rPr>
        <w:t>Fonte: Unioncamere-InfoCamere</w:t>
      </w:r>
    </w:p>
    <w:p w:rsidR="003E0852" w:rsidRDefault="003E0852"/>
    <w:p w:rsidR="003E0852" w:rsidRDefault="003E0852"/>
    <w:p w:rsidR="008830A7" w:rsidRDefault="008830A7">
      <w:r>
        <w:br w:type="page"/>
      </w:r>
    </w:p>
    <w:p w:rsidR="00A377C4" w:rsidRPr="00601B65" w:rsidRDefault="00E5169A" w:rsidP="00A377C4">
      <w:pPr>
        <w:spacing w:after="0"/>
        <w:rPr>
          <w:b/>
        </w:rPr>
      </w:pPr>
      <w:r>
        <w:rPr>
          <w:b/>
        </w:rPr>
        <w:lastRenderedPageBreak/>
        <w:t>Tab. 4</w:t>
      </w:r>
      <w:r w:rsidR="00A377C4" w:rsidRPr="00601B65">
        <w:rPr>
          <w:b/>
        </w:rPr>
        <w:t xml:space="preserve"> – Titolari di imprese individuali per </w:t>
      </w:r>
      <w:r w:rsidR="00A377C4">
        <w:rPr>
          <w:b/>
        </w:rPr>
        <w:t>provincia</w:t>
      </w:r>
      <w:r w:rsidR="00A377C4" w:rsidRPr="00601B65">
        <w:rPr>
          <w:b/>
        </w:rPr>
        <w:t xml:space="preserve"> della sede d’impresa</w:t>
      </w:r>
    </w:p>
    <w:p w:rsidR="008830A7" w:rsidRDefault="00A377C4" w:rsidP="00A377C4">
      <w:pPr>
        <w:spacing w:after="0"/>
        <w:rPr>
          <w:i/>
        </w:rPr>
      </w:pPr>
      <w:r w:rsidRPr="00B82470">
        <w:rPr>
          <w:i/>
        </w:rPr>
        <w:t xml:space="preserve">Confronto giugno 2025/giugno 2015 – </w:t>
      </w:r>
      <w:r>
        <w:rPr>
          <w:i/>
        </w:rPr>
        <w:t>Riepilogo generale</w:t>
      </w:r>
    </w:p>
    <w:p w:rsidR="00A377C4" w:rsidRDefault="00A377C4" w:rsidP="00A377C4">
      <w:pPr>
        <w:spacing w:after="0"/>
      </w:pPr>
    </w:p>
    <w:tbl>
      <w:tblPr>
        <w:tblW w:w="10072" w:type="dxa"/>
        <w:tblCellMar>
          <w:left w:w="70" w:type="dxa"/>
          <w:right w:w="70" w:type="dxa"/>
        </w:tblCellMar>
        <w:tblLook w:val="04A0"/>
      </w:tblPr>
      <w:tblGrid>
        <w:gridCol w:w="1701"/>
        <w:gridCol w:w="851"/>
        <w:gridCol w:w="844"/>
        <w:gridCol w:w="6"/>
        <w:gridCol w:w="851"/>
        <w:gridCol w:w="709"/>
        <w:gridCol w:w="280"/>
        <w:gridCol w:w="1421"/>
        <w:gridCol w:w="992"/>
        <w:gridCol w:w="850"/>
        <w:gridCol w:w="709"/>
        <w:gridCol w:w="858"/>
      </w:tblGrid>
      <w:tr w:rsidR="00A377C4" w:rsidRPr="008830A7" w:rsidTr="00846CDB">
        <w:trPr>
          <w:trHeight w:hRule="exact" w:val="255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8830A7" w:rsidRDefault="00A377C4" w:rsidP="00846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8830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Giugno 2025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Var. </w:t>
            </w:r>
            <w:r w:rsidRPr="008830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2015 - 2025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8830A7" w:rsidRDefault="00A377C4" w:rsidP="00846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8830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Giugno 2025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Var. %</w:t>
            </w:r>
            <w:r w:rsidRPr="008830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 2015 - 2025</w:t>
            </w:r>
          </w:p>
        </w:tc>
      </w:tr>
      <w:tr w:rsidR="00A377C4" w:rsidRPr="008830A7" w:rsidTr="00846CDB">
        <w:trPr>
          <w:trHeight w:hRule="exact" w:val="465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8830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8830A7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Titolari &gt;= 70 anni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% over 70 su tot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8830A7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Titolari &gt;= 70 anni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8830A7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Punti %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</w:pPr>
            <w:r w:rsidRPr="008830A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8830A7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Titolari &gt;= 70 anni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8830A7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% over 70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su tot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8830A7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>Titolari &gt;= 70 anni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8830A7" w:rsidRDefault="00A377C4" w:rsidP="00846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</w:pPr>
            <w:r w:rsidRPr="008830A7">
              <w:rPr>
                <w:rFonts w:ascii="Calibri" w:eastAsia="Times New Roman" w:hAnsi="Calibri" w:cs="Calibri"/>
                <w:b/>
                <w:sz w:val="18"/>
                <w:szCs w:val="18"/>
                <w:lang w:eastAsia="it-IT"/>
              </w:rPr>
              <w:t xml:space="preserve">Punti % 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AGRIGENTO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3.557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2,0%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MESSINA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4.491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1.166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4,0%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ALESSANDRIA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2.657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12,1%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-473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0,4%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MILANO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6,4%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1.763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1,5%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ANCONA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2.443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12,5%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-0,3%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MODENA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3.935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12,1%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1,4%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AOSTA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MONZA E BRIANZA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1.888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5,6%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1,6%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AREZZO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NAPOLI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11.626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1.439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0,5%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ASCOLI PICENO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1.469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-501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-0,4%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NOVARA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6,1%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223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1,9%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ASTI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1.755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12,5%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NUORO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2.225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590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2,5%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AVELLINO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3.221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ORISTANO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1.052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11,8%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2,7%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BARI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8.788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11,3%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1,8%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PADOVA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5.723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12,4%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-199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1,2%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BELLUNO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PALERMO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6.553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11,6%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1.840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3,3%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BENEVENTO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2.713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4,0%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PARMA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2.769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-41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1,6%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BERGAMO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2.584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6,0%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PAVIA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2.368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9,3%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1,4%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BIELLA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7,8%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PERUGIA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5.065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1,7%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BOLOGNA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4.314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-221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0,8%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PESARO E URBINO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2.246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-325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1,7%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BOLZANO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3.962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0,7%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PESCARA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1.982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11,1%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2,1%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BRESCIA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7,3%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PIACENZA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12,8%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1,3%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BRINDISI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3.614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15,3%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4,3%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PISA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2.032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2,7%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CAGLIARI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3.384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9,6%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1,8%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PISTOIA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1.426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1,2%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CALTANISSETTA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2.405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16,9%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-198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0,4%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PORDENONE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1.731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12,9%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-139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0,2%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CAMPOBASSO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POTENZA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3.279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14,7%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3,7%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CASERTA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5.449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0,8%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PRATO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5,8%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299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1,9%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CATANIA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5.799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-265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0,8%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RAGUSA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2.124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11,2%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-107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1,1%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CATANZARO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2.117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2,8%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RAVENNA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2.515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-168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1,1%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CHIETI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4.552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17,6%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4,6%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REGGIO CALABRIA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5.017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1.314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3,9%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COMO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1.614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7,1%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REGGIO EMILIA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2.876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11,3%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2,0%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COSENZA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4.277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11,6%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RIETI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1.286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2,4%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CREMONA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1.235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RIMINI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1.857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1,9%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CROTONE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1.890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15,8%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4,8%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ROMA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10.200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6,8%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-4.262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-1,0%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CUNEO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4.616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11,8%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ROVIGO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1.790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-164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2,2%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ENNA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1.636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15,6%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5,2%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SALERNO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6.503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10,7%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291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1,7%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FERMO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1.459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-421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0,3%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SASSARI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2.815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9,7%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-100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0,6%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FERRARA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2.333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12,8%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SAVONA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1.325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1,1%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FIRENZE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4.445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SIENA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1.887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1,9%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FOGGIA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7.578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16,9%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SIRACUSA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2.849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1,9%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FORLI' - CESENA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2.770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SONDRIO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1,7%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FROSINONE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2.408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TARANTO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4.698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15,9%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3,5%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GENOVA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3.518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TERAMO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2.770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15,2%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3,6%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GORIZIA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9,0%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1,0%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TERNI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1.567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1,7%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GROSSETO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3.141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18,7%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4,3%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TORINO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7.671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6,5%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1.794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1,6%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IMPERIA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1.279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TRAPANI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5.083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17,6%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785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3,1%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ISERNIA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11,5%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TRENTO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3.371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12,2%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1,6%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LA SPEZIA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7,8%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TREVISO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5.526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444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2,3%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L'AQUILA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1.404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9,7%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TRIESTE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1,4%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LATINA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3,8%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UDINE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3.243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1,5%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LECCE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4.558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9,9%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VARESE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1.902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6,6%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460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2,3%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LECCO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7,0%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VENEZIA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3.594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9,8%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0,7%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LIVORNO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1.915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VERBANIA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7,0%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183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3,0%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LODI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7,1%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VERCELLI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2,5%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LUCCA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1.686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8,7%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2,2%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VERONA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5.063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1,9%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MACERATA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2.977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16,3%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-509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VIBO VALENTIA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1.345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14,0%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4,5%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MANTOVA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2.560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13,7%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VICENZA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3.848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10,5%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1,8%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MASSA CARRARA      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853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9,2%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2,6%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VITERBO            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3.837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17,9%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230</w:t>
            </w:r>
          </w:p>
        </w:tc>
        <w:tc>
          <w:tcPr>
            <w:tcW w:w="8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3,1%</w:t>
            </w:r>
          </w:p>
        </w:tc>
      </w:tr>
      <w:tr w:rsidR="00A377C4" w:rsidRPr="00EF7CAC" w:rsidTr="00846CDB">
        <w:trPr>
          <w:trHeight w:hRule="exact" w:val="22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 xml:space="preserve">MATERA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2.122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15,5%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sz w:val="16"/>
                <w:szCs w:val="16"/>
              </w:rPr>
              <w:t>4,4%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7C4" w:rsidRPr="00166D9F" w:rsidRDefault="00A377C4" w:rsidP="00846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b/>
                <w:bCs/>
                <w:sz w:val="16"/>
                <w:szCs w:val="16"/>
              </w:rPr>
              <w:t>ITALIA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b/>
                <w:bCs/>
                <w:sz w:val="16"/>
                <w:szCs w:val="16"/>
              </w:rPr>
              <w:t>314.824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b/>
                <w:bCs/>
                <w:sz w:val="16"/>
                <w:szCs w:val="16"/>
              </w:rPr>
              <w:t>10,7%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b/>
                <w:bCs/>
                <w:sz w:val="16"/>
                <w:szCs w:val="16"/>
              </w:rPr>
              <w:t>24.496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7C4" w:rsidRPr="00166D9F" w:rsidRDefault="00A377C4" w:rsidP="00846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it-IT"/>
              </w:rPr>
            </w:pPr>
            <w:r w:rsidRPr="00166D9F">
              <w:rPr>
                <w:rFonts w:ascii="Calibri" w:hAnsi="Calibri" w:cs="Calibri"/>
                <w:b/>
                <w:bCs/>
                <w:sz w:val="16"/>
                <w:szCs w:val="16"/>
              </w:rPr>
              <w:t>1,8%</w:t>
            </w:r>
          </w:p>
        </w:tc>
      </w:tr>
    </w:tbl>
    <w:p w:rsidR="00A377C4" w:rsidRPr="00601B65" w:rsidRDefault="00A377C4" w:rsidP="00A377C4">
      <w:pPr>
        <w:spacing w:after="0"/>
        <w:rPr>
          <w:i/>
          <w:sz w:val="18"/>
        </w:rPr>
      </w:pPr>
      <w:r>
        <w:rPr>
          <w:i/>
          <w:sz w:val="18"/>
        </w:rPr>
        <w:t xml:space="preserve">Fonte: </w:t>
      </w:r>
      <w:proofErr w:type="spellStart"/>
      <w:r>
        <w:rPr>
          <w:i/>
          <w:sz w:val="18"/>
        </w:rPr>
        <w:t>Unioncamere-InfoCamere</w:t>
      </w:r>
      <w:proofErr w:type="spellEnd"/>
    </w:p>
    <w:p w:rsidR="00A377C4" w:rsidRDefault="00A377C4"/>
    <w:sectPr w:rsidR="00A377C4" w:rsidSect="00597A23">
      <w:footerReference w:type="default" r:id="rId9"/>
      <w:pgSz w:w="11906" w:h="16838"/>
      <w:pgMar w:top="1135" w:right="1134" w:bottom="1134" w:left="1134" w:header="708" w:footer="3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43" w:rsidRDefault="001B2A43" w:rsidP="00597A23">
      <w:pPr>
        <w:spacing w:after="0" w:line="240" w:lineRule="auto"/>
      </w:pPr>
      <w:r>
        <w:separator/>
      </w:r>
    </w:p>
  </w:endnote>
  <w:endnote w:type="continuationSeparator" w:id="0">
    <w:p w:rsidR="001B2A43" w:rsidRDefault="001B2A43" w:rsidP="0059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24" w:type="dxa"/>
      <w:tblInd w:w="98" w:type="dxa"/>
      <w:tblLayout w:type="fixed"/>
      <w:tblLook w:val="0000"/>
    </w:tblPr>
    <w:tblGrid>
      <w:gridCol w:w="5146"/>
      <w:gridCol w:w="4678"/>
    </w:tblGrid>
    <w:tr w:rsidR="008830A7" w:rsidTr="00036F9D">
      <w:tc>
        <w:tcPr>
          <w:tcW w:w="5146" w:type="dxa"/>
          <w:tcBorders>
            <w:right w:val="single" w:sz="4" w:space="0" w:color="808080"/>
          </w:tcBorders>
        </w:tcPr>
        <w:p w:rsidR="008830A7" w:rsidRDefault="008830A7" w:rsidP="00597A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hanging="2"/>
            <w:jc w:val="center"/>
            <w:rPr>
              <w:rFonts w:ascii="Calibri" w:eastAsia="Calibri" w:hAnsi="Calibri" w:cs="Calibri"/>
              <w:color w:val="80808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color w:val="808080"/>
              <w:sz w:val="18"/>
              <w:szCs w:val="18"/>
            </w:rPr>
            <w:t xml:space="preserve">Ufficio stampa Unioncamere - </w:t>
          </w:r>
          <w:r>
            <w:rPr>
              <w:rFonts w:ascii="Calibri" w:eastAsia="Calibri" w:hAnsi="Calibri" w:cs="Calibri"/>
              <w:color w:val="808080"/>
              <w:sz w:val="18"/>
              <w:szCs w:val="18"/>
            </w:rPr>
            <w:t>06.4704 264</w:t>
          </w:r>
          <w:r w:rsidR="00753F43" w:rsidRPr="00753F43">
            <w:rPr>
              <w:noProof/>
              <w:lang w:eastAsia="it-IT"/>
            </w:rPr>
            <w:pict>
              <v:group id="Gruppo 1" o:spid="_x0000_s4097" style="position:absolute;left:0;text-align:left;margin-left:556pt;margin-top:772pt;width:38.45pt;height:18.7pt;z-index:251659264;mso-position-horizontal-relative:text;mso-position-vertical-relative:text" coordorigin="51018,36564" coordsize="4883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">
                <v:group id="Gruppo 9" o:spid="_x0000_s4098" style="position:absolute;left:51018;top:36612;width:4883;height:2375" coordorigin="689,3255" coordsize="769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ttangolo 10" o:spid="_x0000_s4103" style="position:absolute;left:689;top:3255;width:750;height:3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8830A7" w:rsidRDefault="008830A7" w:rsidP="00597A23">
                          <w:pPr>
                            <w:spacing w:line="240" w:lineRule="auto"/>
                            <w:ind w:hanging="2"/>
                          </w:pPr>
                        </w:p>
                      </w:txbxContent>
                    </v:textbox>
                  </v:rect>
                  <v:rect id="Rettangolo 11" o:spid="_x0000_s4102" style="position:absolute;left:689;top:3263;width:769;height:3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8830A7" w:rsidRDefault="008830A7" w:rsidP="00597A23">
                          <w:pPr>
                            <w:spacing w:line="240" w:lineRule="auto"/>
                            <w:ind w:hanging="2"/>
                          </w:pPr>
                        </w:p>
                      </w:txbxContent>
                    </v:textbox>
                  </v:rect>
                  <v:group id="Gruppo 12" o:spid="_x0000_s4099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oval id="Ovale 13" o:spid="_x0000_s4101" style="position:absolute;left:1453;top:14832;width:374;height:3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" filled="f" strokecolor="#84a2c6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8830A7" w:rsidRDefault="008830A7" w:rsidP="00597A23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oval>
                    <v:oval id="Ovale 14" o:spid="_x0000_s4100" style="position:absolute;left:1462;top:14835;width:101;height:10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" fillcolor="#84a2c6" stroked="f">
                      <v:textbox inset="2.53958mm,2.53958mm,2.53958mm,2.53958mm">
                        <w:txbxContent>
                          <w:p w:rsidR="008830A7" w:rsidRDefault="008830A7" w:rsidP="00597A23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oval>
                  </v:group>
                </v:group>
              </v:group>
            </w:pict>
          </w:r>
        </w:p>
        <w:p w:rsidR="008830A7" w:rsidRDefault="00753F43" w:rsidP="00597A2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center"/>
            <w:rPr>
              <w:rFonts w:ascii="Calibri" w:eastAsia="Calibri" w:hAnsi="Calibri" w:cs="Calibri"/>
              <w:color w:val="808080"/>
              <w:sz w:val="18"/>
              <w:szCs w:val="18"/>
            </w:rPr>
          </w:pPr>
          <w:hyperlink r:id="rId1">
            <w:r w:rsidR="008830A7"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</w:rPr>
              <w:t>ufficio.stampa@unioncamere.it</w:t>
            </w:r>
          </w:hyperlink>
          <w:r w:rsidR="008830A7">
            <w:rPr>
              <w:rFonts w:ascii="Calibri" w:eastAsia="Calibri" w:hAnsi="Calibri" w:cs="Calibri"/>
              <w:color w:val="808080"/>
              <w:sz w:val="18"/>
              <w:szCs w:val="18"/>
            </w:rPr>
            <w:t xml:space="preserve"> - </w:t>
          </w:r>
          <w:hyperlink r:id="rId2">
            <w:r w:rsidR="008830A7"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</w:rPr>
              <w:t>www.unioncamere.gov.it</w:t>
            </w:r>
          </w:hyperlink>
        </w:p>
      </w:tc>
      <w:tc>
        <w:tcPr>
          <w:tcW w:w="4678" w:type="dxa"/>
          <w:tcBorders>
            <w:left w:val="single" w:sz="4" w:space="0" w:color="808080"/>
          </w:tcBorders>
        </w:tcPr>
        <w:p w:rsidR="008830A7" w:rsidRDefault="008830A7" w:rsidP="00597A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hanging="2"/>
            <w:jc w:val="center"/>
            <w:rPr>
              <w:rFonts w:ascii="Calibri" w:eastAsia="Calibri" w:hAnsi="Calibri" w:cs="Calibri"/>
              <w:color w:val="80808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color w:val="808080"/>
              <w:sz w:val="18"/>
              <w:szCs w:val="18"/>
            </w:rPr>
            <w:t xml:space="preserve">Ufficio stampa InfoCamere - </w:t>
          </w:r>
          <w:r>
            <w:rPr>
              <w:rFonts w:ascii="Calibri" w:eastAsia="Calibri" w:hAnsi="Calibri" w:cs="Calibri"/>
              <w:color w:val="808080"/>
              <w:sz w:val="18"/>
              <w:szCs w:val="18"/>
            </w:rPr>
            <w:t>06.44285 403/310</w:t>
          </w:r>
        </w:p>
        <w:p w:rsidR="008830A7" w:rsidRDefault="00753F43" w:rsidP="00597A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hanging="2"/>
            <w:jc w:val="center"/>
            <w:rPr>
              <w:rFonts w:ascii="Calibri" w:eastAsia="Calibri" w:hAnsi="Calibri" w:cs="Calibri"/>
              <w:color w:val="808080"/>
              <w:sz w:val="18"/>
              <w:szCs w:val="18"/>
            </w:rPr>
          </w:pPr>
          <w:hyperlink r:id="rId3">
            <w:r w:rsidR="008830A7"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</w:rPr>
              <w:t>ufficiostampa@infocamere.it</w:t>
            </w:r>
          </w:hyperlink>
          <w:r w:rsidR="008830A7">
            <w:rPr>
              <w:rFonts w:ascii="Calibri" w:eastAsia="Calibri" w:hAnsi="Calibri" w:cs="Calibri"/>
              <w:color w:val="808080"/>
              <w:sz w:val="18"/>
              <w:szCs w:val="18"/>
            </w:rPr>
            <w:t xml:space="preserve"> – </w:t>
          </w:r>
          <w:hyperlink r:id="rId4">
            <w:r w:rsidR="008830A7"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</w:rPr>
              <w:t>www.infocamere.it</w:t>
            </w:r>
          </w:hyperlink>
        </w:p>
      </w:tc>
    </w:tr>
  </w:tbl>
  <w:p w:rsidR="008830A7" w:rsidRDefault="008830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43" w:rsidRDefault="001B2A43" w:rsidP="00597A23">
      <w:pPr>
        <w:spacing w:after="0" w:line="240" w:lineRule="auto"/>
      </w:pPr>
      <w:r>
        <w:separator/>
      </w:r>
    </w:p>
  </w:footnote>
  <w:footnote w:type="continuationSeparator" w:id="0">
    <w:p w:rsidR="001B2A43" w:rsidRDefault="001B2A43" w:rsidP="00597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985"/>
    <w:multiLevelType w:val="multilevel"/>
    <w:tmpl w:val="6838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3604"/>
    <w:multiLevelType w:val="multilevel"/>
    <w:tmpl w:val="EC10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58C8"/>
    <w:rsid w:val="00036F9D"/>
    <w:rsid w:val="00084C88"/>
    <w:rsid w:val="000A5DC1"/>
    <w:rsid w:val="000C6EB9"/>
    <w:rsid w:val="000E0EF9"/>
    <w:rsid w:val="000F4703"/>
    <w:rsid w:val="001264A7"/>
    <w:rsid w:val="00157111"/>
    <w:rsid w:val="00166D9F"/>
    <w:rsid w:val="001B2A43"/>
    <w:rsid w:val="001F0EA3"/>
    <w:rsid w:val="003E0852"/>
    <w:rsid w:val="00404D85"/>
    <w:rsid w:val="00432F76"/>
    <w:rsid w:val="00462B05"/>
    <w:rsid w:val="00463445"/>
    <w:rsid w:val="00597A23"/>
    <w:rsid w:val="005B793B"/>
    <w:rsid w:val="00601B65"/>
    <w:rsid w:val="00602441"/>
    <w:rsid w:val="0064101A"/>
    <w:rsid w:val="0065717B"/>
    <w:rsid w:val="00663388"/>
    <w:rsid w:val="006A1458"/>
    <w:rsid w:val="006B470A"/>
    <w:rsid w:val="006E21C2"/>
    <w:rsid w:val="00753F43"/>
    <w:rsid w:val="00790A97"/>
    <w:rsid w:val="007D0DD9"/>
    <w:rsid w:val="00831B78"/>
    <w:rsid w:val="008830A7"/>
    <w:rsid w:val="008C25E1"/>
    <w:rsid w:val="00904F04"/>
    <w:rsid w:val="009A77B2"/>
    <w:rsid w:val="00A05402"/>
    <w:rsid w:val="00A377C4"/>
    <w:rsid w:val="00A93EA7"/>
    <w:rsid w:val="00B82470"/>
    <w:rsid w:val="00C05A35"/>
    <w:rsid w:val="00D3636E"/>
    <w:rsid w:val="00D458C8"/>
    <w:rsid w:val="00E37402"/>
    <w:rsid w:val="00E5169A"/>
    <w:rsid w:val="00E71756"/>
    <w:rsid w:val="00EF7CAC"/>
    <w:rsid w:val="00F3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7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A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A23"/>
  </w:style>
  <w:style w:type="paragraph" w:styleId="Pidipagina">
    <w:name w:val="footer"/>
    <w:basedOn w:val="Normale"/>
    <w:link w:val="PidipaginaCarattere"/>
    <w:uiPriority w:val="99"/>
    <w:unhideWhenUsed/>
    <w:rsid w:val="00597A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stampa@infocamer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Relationship Id="rId4" Type="http://schemas.openxmlformats.org/officeDocument/2006/relationships/hyperlink" Target="http://www.infocame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</Company>
  <LinksUpToDate>false</LinksUpToDate>
  <CharactersWithSpaces>12853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Vincentiis Carlo</dc:creator>
  <cp:lastModifiedBy>simona.paronetto</cp:lastModifiedBy>
  <cp:revision>2</cp:revision>
  <dcterms:created xsi:type="dcterms:W3CDTF">2025-08-08T09:16:00Z</dcterms:created>
  <dcterms:modified xsi:type="dcterms:W3CDTF">2025-08-08T09:16:00Z</dcterms:modified>
</cp:coreProperties>
</file>