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theme/themeOverride1.xml" ContentType="application/vnd.openxmlformats-officedocument.themeOverrid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drawings/drawing1.xml" ContentType="application/vnd.openxmlformats-officedocument.drawingml.chartshapes+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8538D8" w14:textId="7C50E4E5" w:rsidR="00674761" w:rsidRPr="00C7169A" w:rsidRDefault="000C3835" w:rsidP="0035417E">
      <w:pPr>
        <w:spacing w:line="360" w:lineRule="auto"/>
        <w:jc w:val="center"/>
        <w:rPr>
          <w:b/>
          <w:bCs/>
          <w:sz w:val="30"/>
          <w:szCs w:val="30"/>
        </w:rPr>
      </w:pPr>
      <w:r w:rsidRPr="00C7169A">
        <w:rPr>
          <w:b/>
          <w:bCs/>
          <w:sz w:val="30"/>
          <w:szCs w:val="30"/>
        </w:rPr>
        <w:t>Medie imprese</w:t>
      </w:r>
      <w:r w:rsidR="00674761">
        <w:rPr>
          <w:b/>
          <w:bCs/>
          <w:sz w:val="30"/>
          <w:szCs w:val="30"/>
        </w:rPr>
        <w:t xml:space="preserve"> industriali italiane</w:t>
      </w:r>
      <w:r w:rsidRPr="00C7169A">
        <w:rPr>
          <w:b/>
          <w:bCs/>
          <w:sz w:val="30"/>
          <w:szCs w:val="30"/>
        </w:rPr>
        <w:t xml:space="preserve">: </w:t>
      </w:r>
    </w:p>
    <w:p w14:paraId="63466211" w14:textId="37AFF450" w:rsidR="004C0260" w:rsidRDefault="00CD253C" w:rsidP="0035417E">
      <w:pPr>
        <w:spacing w:line="360" w:lineRule="auto"/>
        <w:jc w:val="center"/>
        <w:rPr>
          <w:b/>
          <w:bCs/>
          <w:sz w:val="30"/>
          <w:szCs w:val="30"/>
        </w:rPr>
      </w:pPr>
      <w:r>
        <w:rPr>
          <w:b/>
          <w:bCs/>
          <w:sz w:val="30"/>
          <w:szCs w:val="30"/>
        </w:rPr>
        <w:t>l</w:t>
      </w:r>
      <w:r w:rsidR="005514AC">
        <w:rPr>
          <w:b/>
          <w:bCs/>
          <w:sz w:val="30"/>
          <w:szCs w:val="30"/>
        </w:rPr>
        <w:t>’</w:t>
      </w:r>
      <w:r w:rsidR="004C0260" w:rsidRPr="000C3835">
        <w:rPr>
          <w:b/>
          <w:bCs/>
          <w:sz w:val="30"/>
          <w:szCs w:val="30"/>
        </w:rPr>
        <w:t xml:space="preserve">Italia </w:t>
      </w:r>
      <w:r w:rsidR="005948B1">
        <w:rPr>
          <w:b/>
          <w:bCs/>
          <w:sz w:val="30"/>
          <w:szCs w:val="30"/>
        </w:rPr>
        <w:t xml:space="preserve">supera </w:t>
      </w:r>
      <w:r w:rsidR="005514AC">
        <w:rPr>
          <w:b/>
          <w:bCs/>
          <w:sz w:val="30"/>
          <w:szCs w:val="30"/>
        </w:rPr>
        <w:t xml:space="preserve">la </w:t>
      </w:r>
      <w:r w:rsidR="004C0260" w:rsidRPr="000C3835">
        <w:rPr>
          <w:b/>
          <w:bCs/>
          <w:sz w:val="30"/>
          <w:szCs w:val="30"/>
        </w:rPr>
        <w:t xml:space="preserve">Germania, </w:t>
      </w:r>
      <w:r w:rsidR="005514AC">
        <w:rPr>
          <w:b/>
          <w:bCs/>
          <w:sz w:val="30"/>
          <w:szCs w:val="30"/>
        </w:rPr>
        <w:t xml:space="preserve">la </w:t>
      </w:r>
      <w:r w:rsidR="004C0260" w:rsidRPr="000C3835">
        <w:rPr>
          <w:b/>
          <w:bCs/>
          <w:sz w:val="30"/>
          <w:szCs w:val="30"/>
        </w:rPr>
        <w:t xml:space="preserve">Francia e </w:t>
      </w:r>
      <w:r w:rsidR="005514AC">
        <w:rPr>
          <w:b/>
          <w:bCs/>
          <w:sz w:val="30"/>
          <w:szCs w:val="30"/>
        </w:rPr>
        <w:t xml:space="preserve">la </w:t>
      </w:r>
      <w:r w:rsidR="004C0260" w:rsidRPr="000C3835">
        <w:rPr>
          <w:b/>
          <w:bCs/>
          <w:sz w:val="30"/>
          <w:szCs w:val="30"/>
        </w:rPr>
        <w:t>Spagna per produttività</w:t>
      </w:r>
      <w:r w:rsidR="00674761">
        <w:rPr>
          <w:b/>
          <w:bCs/>
          <w:sz w:val="30"/>
          <w:szCs w:val="30"/>
        </w:rPr>
        <w:t>, m</w:t>
      </w:r>
      <w:r w:rsidR="004C0260">
        <w:rPr>
          <w:b/>
          <w:bCs/>
          <w:sz w:val="30"/>
          <w:szCs w:val="30"/>
        </w:rPr>
        <w:t>a è seconda in U</w:t>
      </w:r>
      <w:r w:rsidR="00B87F94">
        <w:rPr>
          <w:b/>
          <w:bCs/>
          <w:sz w:val="30"/>
          <w:szCs w:val="30"/>
        </w:rPr>
        <w:t>E</w:t>
      </w:r>
      <w:r w:rsidR="004C0260">
        <w:rPr>
          <w:b/>
          <w:bCs/>
          <w:sz w:val="30"/>
          <w:szCs w:val="30"/>
        </w:rPr>
        <w:t xml:space="preserve"> per andamenti di fatturato e occupazione</w:t>
      </w:r>
    </w:p>
    <w:p w14:paraId="66E52D5A" w14:textId="3C72ACF7" w:rsidR="004C0260" w:rsidRDefault="004C0260" w:rsidP="0035417E">
      <w:pPr>
        <w:spacing w:line="360" w:lineRule="auto"/>
        <w:jc w:val="center"/>
        <w:rPr>
          <w:b/>
          <w:bCs/>
          <w:sz w:val="30"/>
          <w:szCs w:val="30"/>
        </w:rPr>
      </w:pPr>
      <w:r>
        <w:rPr>
          <w:b/>
          <w:bCs/>
          <w:sz w:val="30"/>
          <w:szCs w:val="30"/>
        </w:rPr>
        <w:t xml:space="preserve">Per il 2025 atteso </w:t>
      </w:r>
      <w:r w:rsidR="00674761">
        <w:rPr>
          <w:b/>
          <w:bCs/>
          <w:sz w:val="30"/>
          <w:szCs w:val="30"/>
        </w:rPr>
        <w:t xml:space="preserve">un </w:t>
      </w:r>
      <w:r>
        <w:rPr>
          <w:b/>
          <w:bCs/>
          <w:sz w:val="30"/>
          <w:szCs w:val="30"/>
        </w:rPr>
        <w:t xml:space="preserve">aumento del 2,2% </w:t>
      </w:r>
      <w:r w:rsidR="0080108F">
        <w:rPr>
          <w:b/>
          <w:bCs/>
          <w:sz w:val="30"/>
          <w:szCs w:val="30"/>
        </w:rPr>
        <w:t xml:space="preserve">del </w:t>
      </w:r>
      <w:r>
        <w:rPr>
          <w:b/>
          <w:bCs/>
          <w:sz w:val="30"/>
          <w:szCs w:val="30"/>
        </w:rPr>
        <w:t>giro d’affari</w:t>
      </w:r>
    </w:p>
    <w:p w14:paraId="2EC061D2" w14:textId="7967F167" w:rsidR="004C0260" w:rsidRDefault="000C3835" w:rsidP="0035417E">
      <w:pPr>
        <w:spacing w:line="360" w:lineRule="auto"/>
        <w:jc w:val="center"/>
        <w:rPr>
          <w:b/>
          <w:bCs/>
          <w:sz w:val="30"/>
          <w:szCs w:val="30"/>
        </w:rPr>
      </w:pPr>
      <w:r>
        <w:rPr>
          <w:b/>
          <w:bCs/>
          <w:sz w:val="30"/>
          <w:szCs w:val="30"/>
        </w:rPr>
        <w:t xml:space="preserve">La concorrenza low-cost spaventa il 70% delle </w:t>
      </w:r>
      <w:proofErr w:type="spellStart"/>
      <w:r>
        <w:rPr>
          <w:b/>
          <w:bCs/>
          <w:sz w:val="30"/>
          <w:szCs w:val="30"/>
        </w:rPr>
        <w:t>Mid</w:t>
      </w:r>
      <w:proofErr w:type="spellEnd"/>
      <w:r>
        <w:rPr>
          <w:b/>
          <w:bCs/>
          <w:sz w:val="30"/>
          <w:szCs w:val="30"/>
        </w:rPr>
        <w:t>-Cap</w:t>
      </w:r>
    </w:p>
    <w:p w14:paraId="3A1785FF" w14:textId="55C13327" w:rsidR="00C056DA" w:rsidRDefault="000C3835" w:rsidP="0035417E">
      <w:pPr>
        <w:spacing w:line="360" w:lineRule="auto"/>
        <w:jc w:val="center"/>
        <w:rPr>
          <w:b/>
          <w:bCs/>
          <w:sz w:val="30"/>
          <w:szCs w:val="30"/>
        </w:rPr>
      </w:pPr>
      <w:r w:rsidRPr="000C3835">
        <w:rPr>
          <w:b/>
          <w:bCs/>
          <w:sz w:val="30"/>
          <w:szCs w:val="30"/>
        </w:rPr>
        <w:t xml:space="preserve">Dazi </w:t>
      </w:r>
      <w:r w:rsidR="00C056DA" w:rsidRPr="000C3835">
        <w:rPr>
          <w:b/>
          <w:bCs/>
          <w:sz w:val="30"/>
          <w:szCs w:val="30"/>
        </w:rPr>
        <w:t>ed</w:t>
      </w:r>
      <w:r w:rsidRPr="000C3835">
        <w:rPr>
          <w:b/>
          <w:bCs/>
          <w:sz w:val="30"/>
          <w:szCs w:val="30"/>
        </w:rPr>
        <w:t xml:space="preserve"> export: per </w:t>
      </w:r>
      <w:r w:rsidR="007E29A4">
        <w:rPr>
          <w:b/>
          <w:bCs/>
          <w:sz w:val="30"/>
          <w:szCs w:val="30"/>
        </w:rPr>
        <w:t>il 30% delle medie imprese</w:t>
      </w:r>
      <w:r w:rsidRPr="000C3835">
        <w:rPr>
          <w:b/>
          <w:bCs/>
          <w:sz w:val="30"/>
          <w:szCs w:val="30"/>
        </w:rPr>
        <w:t xml:space="preserve"> </w:t>
      </w:r>
    </w:p>
    <w:p w14:paraId="2C14F83F" w14:textId="763DC0BA" w:rsidR="00D575BF" w:rsidRDefault="000C3835" w:rsidP="0035417E">
      <w:pPr>
        <w:spacing w:line="360" w:lineRule="auto"/>
        <w:jc w:val="center"/>
        <w:rPr>
          <w:b/>
          <w:bCs/>
          <w:sz w:val="30"/>
          <w:szCs w:val="30"/>
        </w:rPr>
      </w:pPr>
      <w:r w:rsidRPr="000C3835">
        <w:rPr>
          <w:b/>
          <w:bCs/>
          <w:sz w:val="30"/>
          <w:szCs w:val="30"/>
        </w:rPr>
        <w:t>l’impatto sarà rilevante</w:t>
      </w:r>
    </w:p>
    <w:p w14:paraId="6D66D572" w14:textId="77777777" w:rsidR="00D4064F" w:rsidRPr="00047A26" w:rsidRDefault="00D4064F" w:rsidP="00975571">
      <w:pPr>
        <w:rPr>
          <w:b/>
          <w:bCs/>
        </w:rPr>
      </w:pPr>
    </w:p>
    <w:p w14:paraId="283F041D" w14:textId="47745629" w:rsidR="00861A17" w:rsidRDefault="00F272EB" w:rsidP="0074637C">
      <w:r w:rsidRPr="00183646">
        <w:t>Roma,</w:t>
      </w:r>
      <w:r w:rsidR="00C67CD4">
        <w:t xml:space="preserve"> Milano,</w:t>
      </w:r>
      <w:r w:rsidR="009B1C0A" w:rsidRPr="00183646">
        <w:t xml:space="preserve"> </w:t>
      </w:r>
      <w:r w:rsidR="00460DCE">
        <w:t>2</w:t>
      </w:r>
      <w:r w:rsidR="0074637C">
        <w:t>6</w:t>
      </w:r>
      <w:r w:rsidRPr="00183646">
        <w:t xml:space="preserve"> </w:t>
      </w:r>
      <w:r w:rsidR="00460DCE">
        <w:t>giugno</w:t>
      </w:r>
      <w:r w:rsidRPr="00183646">
        <w:t xml:space="preserve"> 202</w:t>
      </w:r>
      <w:bookmarkStart w:id="0" w:name="_Hlk120811998"/>
      <w:r w:rsidR="0074637C">
        <w:t>5</w:t>
      </w:r>
      <w:r w:rsidR="003F7853" w:rsidRPr="00183646">
        <w:t xml:space="preserve"> –</w:t>
      </w:r>
      <w:r w:rsidR="00E95FCD">
        <w:t xml:space="preserve"> </w:t>
      </w:r>
      <w:r w:rsidR="004C0BAC">
        <w:t>Vincono il confronto con le concorrenti tedesche e francesi performando meglio su fatturato e occupazione, seconde solo alle spagnole, ma sul fronte della produttività non hanno rivali</w:t>
      </w:r>
      <w:r w:rsidR="0074637C" w:rsidRPr="00F42947">
        <w:t>: è l</w:t>
      </w:r>
      <w:r w:rsidR="00B128E7" w:rsidRPr="00F42947">
        <w:t xml:space="preserve">a fotografia </w:t>
      </w:r>
      <w:r w:rsidR="0074637C" w:rsidRPr="00F42947">
        <w:t>delle medie imprese italiane</w:t>
      </w:r>
      <w:r w:rsidR="00B128E7" w:rsidRPr="00F42947">
        <w:t xml:space="preserve"> che esprime il volto più competitivo dell’industria manifatturiera tricolore</w:t>
      </w:r>
      <w:r w:rsidR="00F42947" w:rsidRPr="00F42947">
        <w:t>.</w:t>
      </w:r>
      <w:r w:rsidR="007D4D4B" w:rsidRPr="00F42947">
        <w:t xml:space="preserve"> </w:t>
      </w:r>
      <w:r w:rsidR="0074637C" w:rsidRPr="00F42947">
        <w:t xml:space="preserve">Si tratta di una realtà </w:t>
      </w:r>
      <w:r w:rsidR="00A412CC">
        <w:t>d’eccellenza</w:t>
      </w:r>
      <w:r w:rsidR="00B128E7" w:rsidRPr="00F42947">
        <w:t xml:space="preserve"> del nostro capitalismo familiare composta da 3.650 aziende</w:t>
      </w:r>
      <w:r w:rsidR="008C4B7E">
        <w:t xml:space="preserve">, </w:t>
      </w:r>
      <w:r w:rsidR="00D86522">
        <w:t xml:space="preserve">prevalentemente operanti nei comparti del </w:t>
      </w:r>
      <w:r w:rsidR="008C4B7E">
        <w:t>m</w:t>
      </w:r>
      <w:r w:rsidR="00D86522">
        <w:t>ade in Italy</w:t>
      </w:r>
      <w:r w:rsidR="008C4B7E">
        <w:t>,</w:t>
      </w:r>
      <w:r w:rsidR="00D86522">
        <w:t xml:space="preserve"> </w:t>
      </w:r>
      <w:r w:rsidR="00B128E7" w:rsidRPr="00F42947">
        <w:t xml:space="preserve">che in </w:t>
      </w:r>
      <w:r w:rsidR="0019001D">
        <w:t>dieci anni</w:t>
      </w:r>
      <w:r w:rsidR="00E95FCD">
        <w:t>, tra il 2014 ed il 2023,</w:t>
      </w:r>
      <w:r w:rsidR="0019001D">
        <w:t xml:space="preserve"> </w:t>
      </w:r>
      <w:r w:rsidR="00B128E7" w:rsidRPr="00F42947">
        <w:t xml:space="preserve">ha registrato un aumento </w:t>
      </w:r>
      <w:r w:rsidR="00674761">
        <w:t xml:space="preserve">del </w:t>
      </w:r>
      <w:r w:rsidR="00674761" w:rsidRPr="008E11C4">
        <w:t>31,3%</w:t>
      </w:r>
      <w:r w:rsidR="00674761">
        <w:t xml:space="preserve"> </w:t>
      </w:r>
      <w:r w:rsidR="00864CDB">
        <w:t>della produttività del lavoro</w:t>
      </w:r>
      <w:r w:rsidR="00864CDB" w:rsidRPr="008E11C4">
        <w:t xml:space="preserve">, </w:t>
      </w:r>
      <w:r w:rsidR="00674761" w:rsidRPr="00F42947">
        <w:t xml:space="preserve">del </w:t>
      </w:r>
      <w:r w:rsidR="00674761" w:rsidRPr="005F67AB">
        <w:t>54,9%</w:t>
      </w:r>
      <w:r w:rsidR="00674761">
        <w:t xml:space="preserve"> </w:t>
      </w:r>
      <w:r w:rsidR="00B128E7" w:rsidRPr="00F42947">
        <w:t xml:space="preserve">delle vendite </w:t>
      </w:r>
      <w:r w:rsidR="00864CDB">
        <w:t>e</w:t>
      </w:r>
      <w:r w:rsidR="0019001D">
        <w:t xml:space="preserve"> </w:t>
      </w:r>
      <w:r w:rsidR="00674761">
        <w:t xml:space="preserve">del </w:t>
      </w:r>
      <w:r w:rsidR="00674761" w:rsidRPr="005F67AB">
        <w:t>24,2%</w:t>
      </w:r>
      <w:r w:rsidR="00674761">
        <w:t xml:space="preserve"> </w:t>
      </w:r>
      <w:r w:rsidR="0019001D">
        <w:t xml:space="preserve">dell’occupazione, </w:t>
      </w:r>
      <w:r w:rsidR="003A19BB">
        <w:t xml:space="preserve">correndo </w:t>
      </w:r>
      <w:r w:rsidR="004C748C">
        <w:t xml:space="preserve">allo stesso ritmo delle colleghe nazionali di medio-grande dimensione (+55,3%) e </w:t>
      </w:r>
      <w:r w:rsidR="003A19BB">
        <w:t>più spedit</w:t>
      </w:r>
      <w:r w:rsidR="007D4D4B">
        <w:t>amente</w:t>
      </w:r>
      <w:r w:rsidR="00B128E7">
        <w:t xml:space="preserve"> </w:t>
      </w:r>
      <w:r w:rsidR="004C748C">
        <w:t>dei gruppi maggiori</w:t>
      </w:r>
      <w:r w:rsidR="00B128E7">
        <w:t xml:space="preserve"> </w:t>
      </w:r>
      <w:r w:rsidR="004C748C">
        <w:t>(+42,1%).</w:t>
      </w:r>
      <w:r w:rsidR="002B1170">
        <w:t xml:space="preserve"> </w:t>
      </w:r>
    </w:p>
    <w:p w14:paraId="7698FAAD" w14:textId="0347508A" w:rsidR="002B1170" w:rsidRDefault="006228F6" w:rsidP="0074637C">
      <w:r>
        <w:t>P</w:t>
      </w:r>
      <w:r w:rsidR="002B1170">
        <w:t xml:space="preserve">er </w:t>
      </w:r>
      <w:r w:rsidR="00A412CC">
        <w:t xml:space="preserve">il 2025, </w:t>
      </w:r>
      <w:r w:rsidR="007D4D4B">
        <w:t xml:space="preserve">le medie imprese </w:t>
      </w:r>
      <w:r w:rsidR="002B1170">
        <w:t>prevedono di chiudere ancora in posit</w:t>
      </w:r>
      <w:r w:rsidR="00286EC3">
        <w:t>i</w:t>
      </w:r>
      <w:r w:rsidR="002B1170">
        <w:t>vo con incrementi del 2,2% del fatturato</w:t>
      </w:r>
      <w:r w:rsidR="007E29A4">
        <w:t xml:space="preserve"> totale</w:t>
      </w:r>
      <w:r w:rsidR="002B1170">
        <w:t xml:space="preserve"> e del</w:t>
      </w:r>
      <w:r>
        <w:t xml:space="preserve"> </w:t>
      </w:r>
      <w:r w:rsidR="002B1170">
        <w:t>2,8% dell’export rispetto al 2024.</w:t>
      </w:r>
      <w:r w:rsidR="00286EC3">
        <w:t xml:space="preserve"> Ma </w:t>
      </w:r>
      <w:r w:rsidR="001B551E">
        <w:t>preoccupa</w:t>
      </w:r>
      <w:r w:rsidR="00C13600">
        <w:t xml:space="preserve">no </w:t>
      </w:r>
      <w:r>
        <w:t xml:space="preserve">la concorrenza low-cost </w:t>
      </w:r>
      <w:r w:rsidR="00C845E6">
        <w:t xml:space="preserve">- </w:t>
      </w:r>
      <w:r>
        <w:t>che interessa il 70% circa di queste imprese</w:t>
      </w:r>
      <w:r w:rsidR="00C845E6">
        <w:t xml:space="preserve"> -</w:t>
      </w:r>
      <w:r>
        <w:t xml:space="preserve"> il contesto geopolitico instabile e</w:t>
      </w:r>
      <w:r w:rsidR="001B551E">
        <w:t xml:space="preserve"> </w:t>
      </w:r>
      <w:r w:rsidR="00F11571">
        <w:t>il caro energia</w:t>
      </w:r>
      <w:r>
        <w:t xml:space="preserve">. </w:t>
      </w:r>
      <w:r w:rsidR="00816F0F">
        <w:t>R</w:t>
      </w:r>
      <w:r w:rsidRPr="00C7169A">
        <w:t>estano</w:t>
      </w:r>
      <w:r w:rsidR="0060325F">
        <w:t xml:space="preserve"> </w:t>
      </w:r>
      <w:r w:rsidR="00816F0F">
        <w:t xml:space="preserve">ancora irrisolti altri </w:t>
      </w:r>
      <w:r w:rsidRPr="00C7169A">
        <w:t>due fattori limitanti ben noti: la pressione fiscale</w:t>
      </w:r>
      <w:r w:rsidR="00D05447">
        <w:t xml:space="preserve"> penalizzante per le medie imprese</w:t>
      </w:r>
      <w:r w:rsidRPr="00C7169A">
        <w:t xml:space="preserve"> e il mismatch occupazionale</w:t>
      </w:r>
      <w:r w:rsidR="00D05447">
        <w:t xml:space="preserve">, fardelli che potrebbero pesare sulla competitività. </w:t>
      </w:r>
      <w:r w:rsidR="00BC4A35" w:rsidRPr="00C7169A">
        <w:t xml:space="preserve">A frenare ulteriormente il potenziale delle medie imprese italiane si potrebbe aggiungere l’effetto dei dazi introdotti o minacciati dagli USA che sarebbe rilevante per </w:t>
      </w:r>
      <w:r w:rsidR="007E29A4">
        <w:t>il 30% circa di esse</w:t>
      </w:r>
      <w:r w:rsidR="00CD253C">
        <w:t xml:space="preserve"> e</w:t>
      </w:r>
      <w:r w:rsidR="00BC4A35" w:rsidRPr="00C7169A">
        <w:t>, seppure con un impatto più contenuto, interessare un ulteriore 21</w:t>
      </w:r>
      <w:r w:rsidR="007E29A4">
        <w:t>,3</w:t>
      </w:r>
      <w:r w:rsidR="00BC4A35" w:rsidRPr="00C7169A">
        <w:t>%.</w:t>
      </w:r>
      <w:r w:rsidR="00BC4A35" w:rsidRPr="007E29A4">
        <w:rPr>
          <w:b/>
          <w:bCs/>
        </w:rPr>
        <w:t> </w:t>
      </w:r>
      <w:r w:rsidR="00265905" w:rsidRPr="007E29A4">
        <w:t xml:space="preserve">Anche </w:t>
      </w:r>
      <w:r w:rsidR="00265905">
        <w:t xml:space="preserve">per questo il 52,6% </w:t>
      </w:r>
      <w:r w:rsidR="008168EE">
        <w:t xml:space="preserve">di queste ambasciatrici del made in Italy </w:t>
      </w:r>
      <w:r w:rsidR="004B1FAD">
        <w:t xml:space="preserve">auspica l’adozione di </w:t>
      </w:r>
      <w:r w:rsidR="00265905">
        <w:t xml:space="preserve">una politica commerciale </w:t>
      </w:r>
      <w:r w:rsidR="004B1FAD">
        <w:t xml:space="preserve">europea </w:t>
      </w:r>
      <w:r w:rsidR="00265905">
        <w:t xml:space="preserve">contro la concorrenza sleale e il protezionismo di altri Paesi e il 31,2% </w:t>
      </w:r>
      <w:r w:rsidR="008168EE">
        <w:t xml:space="preserve">una policy comune per la </w:t>
      </w:r>
      <w:r w:rsidR="00265905">
        <w:t xml:space="preserve">sicurezza </w:t>
      </w:r>
      <w:r w:rsidR="003B19C1">
        <w:t>energetica</w:t>
      </w:r>
      <w:r w:rsidR="00265905">
        <w:t>.</w:t>
      </w:r>
    </w:p>
    <w:p w14:paraId="5109EA55" w14:textId="77777777" w:rsidR="002B1170" w:rsidRDefault="002B1170" w:rsidP="0074637C"/>
    <w:p w14:paraId="635D0FC9" w14:textId="4E5FA708" w:rsidR="00667017" w:rsidRDefault="00460DCE" w:rsidP="006E0EEB">
      <w:pPr>
        <w:pStyle w:val="Default"/>
        <w:jc w:val="both"/>
        <w:rPr>
          <w:rFonts w:ascii="Times New Roman" w:hAnsi="Times New Roman" w:cs="Times New Roman"/>
          <w:color w:val="auto"/>
          <w:szCs w:val="20"/>
        </w:rPr>
      </w:pPr>
      <w:r w:rsidRPr="006E0EEB">
        <w:rPr>
          <w:rFonts w:ascii="Times New Roman" w:hAnsi="Times New Roman" w:cs="Times New Roman"/>
          <w:color w:val="auto"/>
          <w:szCs w:val="20"/>
        </w:rPr>
        <w:t xml:space="preserve">È quanto emerge </w:t>
      </w:r>
      <w:r w:rsidR="00E86A93" w:rsidRPr="006E0EEB">
        <w:rPr>
          <w:rFonts w:ascii="Times New Roman" w:hAnsi="Times New Roman" w:cs="Times New Roman"/>
          <w:color w:val="auto"/>
          <w:szCs w:val="20"/>
        </w:rPr>
        <w:t xml:space="preserve">nel </w:t>
      </w:r>
      <w:bookmarkStart w:id="1" w:name="_Hlk169514894"/>
      <w:r w:rsidR="00E86A93" w:rsidRPr="006E0EEB">
        <w:rPr>
          <w:rFonts w:ascii="Times New Roman" w:hAnsi="Times New Roman" w:cs="Times New Roman"/>
          <w:b/>
          <w:bCs/>
          <w:color w:val="auto"/>
          <w:szCs w:val="20"/>
        </w:rPr>
        <w:t>XX</w:t>
      </w:r>
      <w:r w:rsidR="008E19BD">
        <w:rPr>
          <w:rFonts w:ascii="Times New Roman" w:hAnsi="Times New Roman" w:cs="Times New Roman"/>
          <w:b/>
          <w:bCs/>
          <w:color w:val="auto"/>
          <w:szCs w:val="20"/>
        </w:rPr>
        <w:t>IV</w:t>
      </w:r>
      <w:r w:rsidR="00E86A93" w:rsidRPr="006E0EEB">
        <w:rPr>
          <w:rFonts w:ascii="Times New Roman" w:hAnsi="Times New Roman" w:cs="Times New Roman"/>
          <w:b/>
          <w:bCs/>
          <w:color w:val="auto"/>
          <w:szCs w:val="20"/>
        </w:rPr>
        <w:t xml:space="preserve"> Rapporto sulle medie imprese industriali italiane</w:t>
      </w:r>
      <w:r w:rsidR="00E86A93" w:rsidRPr="006E0EEB">
        <w:rPr>
          <w:rFonts w:ascii="Times New Roman" w:hAnsi="Times New Roman" w:cs="Times New Roman"/>
          <w:color w:val="auto"/>
          <w:szCs w:val="20"/>
        </w:rPr>
        <w:t xml:space="preserve"> </w:t>
      </w:r>
      <w:bookmarkEnd w:id="1"/>
      <w:r w:rsidR="00E86A93" w:rsidRPr="006E0EEB">
        <w:rPr>
          <w:rFonts w:ascii="Times New Roman" w:hAnsi="Times New Roman" w:cs="Times New Roman"/>
          <w:color w:val="auto"/>
          <w:szCs w:val="20"/>
        </w:rPr>
        <w:t xml:space="preserve">e nel </w:t>
      </w:r>
      <w:r w:rsidR="00E86A93" w:rsidRPr="006E0EEB">
        <w:rPr>
          <w:rFonts w:ascii="Times New Roman" w:hAnsi="Times New Roman" w:cs="Times New Roman"/>
          <w:b/>
          <w:bCs/>
          <w:color w:val="auto"/>
          <w:szCs w:val="20"/>
        </w:rPr>
        <w:t>Report</w:t>
      </w:r>
      <w:r w:rsidRPr="006E0EEB">
        <w:rPr>
          <w:rFonts w:ascii="Times New Roman" w:hAnsi="Times New Roman" w:cs="Times New Roman"/>
          <w:b/>
          <w:bCs/>
          <w:color w:val="auto"/>
          <w:szCs w:val="20"/>
        </w:rPr>
        <w:t xml:space="preserve"> </w:t>
      </w:r>
      <w:bookmarkStart w:id="2" w:name="_Hlk169514931"/>
      <w:r w:rsidRPr="006E0EEB">
        <w:rPr>
          <w:rFonts w:ascii="Times New Roman" w:hAnsi="Times New Roman" w:cs="Times New Roman"/>
          <w:b/>
          <w:bCs/>
          <w:color w:val="auto"/>
          <w:szCs w:val="20"/>
        </w:rPr>
        <w:t>“</w:t>
      </w:r>
      <w:r w:rsidR="008E19BD">
        <w:rPr>
          <w:rFonts w:ascii="Times New Roman" w:hAnsi="Times New Roman" w:cs="Times New Roman"/>
          <w:b/>
          <w:bCs/>
          <w:color w:val="auto"/>
          <w:szCs w:val="20"/>
        </w:rPr>
        <w:t>Scenario competitivo, ESG e innovazione strategica per la creazione di valore nelle medie imprese industriali italiane</w:t>
      </w:r>
      <w:r w:rsidRPr="006E0EEB">
        <w:rPr>
          <w:rFonts w:ascii="Times New Roman" w:hAnsi="Times New Roman" w:cs="Times New Roman"/>
          <w:b/>
          <w:bCs/>
          <w:color w:val="auto"/>
          <w:szCs w:val="20"/>
        </w:rPr>
        <w:t>”</w:t>
      </w:r>
      <w:r w:rsidRPr="006E0EEB">
        <w:rPr>
          <w:rFonts w:ascii="Times New Roman" w:hAnsi="Times New Roman" w:cs="Times New Roman"/>
          <w:color w:val="auto"/>
          <w:szCs w:val="20"/>
        </w:rPr>
        <w:t xml:space="preserve"> </w:t>
      </w:r>
      <w:bookmarkEnd w:id="2"/>
      <w:r w:rsidRPr="006E0EEB">
        <w:rPr>
          <w:rFonts w:ascii="Times New Roman" w:hAnsi="Times New Roman" w:cs="Times New Roman"/>
          <w:color w:val="auto"/>
          <w:szCs w:val="20"/>
        </w:rPr>
        <w:t>realizzat</w:t>
      </w:r>
      <w:r w:rsidR="00E86A93" w:rsidRPr="006E0EEB">
        <w:rPr>
          <w:rFonts w:ascii="Times New Roman" w:hAnsi="Times New Roman" w:cs="Times New Roman"/>
          <w:color w:val="auto"/>
          <w:szCs w:val="20"/>
        </w:rPr>
        <w:t>i</w:t>
      </w:r>
      <w:r w:rsidRPr="006E0EEB">
        <w:rPr>
          <w:rFonts w:ascii="Times New Roman" w:hAnsi="Times New Roman" w:cs="Times New Roman"/>
          <w:color w:val="auto"/>
          <w:szCs w:val="20"/>
        </w:rPr>
        <w:t xml:space="preserve"> dall’Area Studi di Mediobanca, dal </w:t>
      </w:r>
      <w:bookmarkStart w:id="3" w:name="_Hlk169514868"/>
      <w:r w:rsidRPr="006E0EEB">
        <w:rPr>
          <w:rFonts w:ascii="Times New Roman" w:hAnsi="Times New Roman" w:cs="Times New Roman"/>
          <w:color w:val="auto"/>
          <w:szCs w:val="20"/>
        </w:rPr>
        <w:t>Centro Studi Tagliacarne e Unioncamere</w:t>
      </w:r>
      <w:bookmarkEnd w:id="3"/>
      <w:r w:rsidRPr="006E0EEB">
        <w:rPr>
          <w:rFonts w:ascii="Times New Roman" w:hAnsi="Times New Roman" w:cs="Times New Roman"/>
          <w:color w:val="auto"/>
          <w:szCs w:val="20"/>
        </w:rPr>
        <w:t xml:space="preserve"> presentat</w:t>
      </w:r>
      <w:r w:rsidR="00962F41">
        <w:rPr>
          <w:rFonts w:ascii="Times New Roman" w:hAnsi="Times New Roman" w:cs="Times New Roman"/>
          <w:color w:val="auto"/>
          <w:szCs w:val="20"/>
        </w:rPr>
        <w:t>i</w:t>
      </w:r>
      <w:r w:rsidRPr="006E0EEB">
        <w:rPr>
          <w:rFonts w:ascii="Times New Roman" w:hAnsi="Times New Roman" w:cs="Times New Roman"/>
          <w:color w:val="auto"/>
          <w:szCs w:val="20"/>
        </w:rPr>
        <w:t xml:space="preserve"> oggi a </w:t>
      </w:r>
      <w:r w:rsidR="00286EC3">
        <w:rPr>
          <w:rFonts w:ascii="Times New Roman" w:hAnsi="Times New Roman" w:cs="Times New Roman"/>
          <w:color w:val="auto"/>
          <w:szCs w:val="20"/>
        </w:rPr>
        <w:t>Genova</w:t>
      </w:r>
      <w:r w:rsidRPr="006E0EEB">
        <w:rPr>
          <w:rFonts w:ascii="Times New Roman" w:hAnsi="Times New Roman" w:cs="Times New Roman"/>
          <w:color w:val="auto"/>
          <w:szCs w:val="20"/>
        </w:rPr>
        <w:t xml:space="preserve">. </w:t>
      </w:r>
      <w:r w:rsidR="00354D29" w:rsidRPr="00354D29">
        <w:rPr>
          <w:rFonts w:ascii="Times New Roman" w:hAnsi="Times New Roman" w:cs="Times New Roman"/>
          <w:color w:val="auto"/>
          <w:szCs w:val="20"/>
        </w:rPr>
        <w:t>Le medie imprese rappresentano una componente strategica del tessuto produttivo nazionale: generano il </w:t>
      </w:r>
      <w:r w:rsidR="00354D29" w:rsidRPr="00354D29">
        <w:rPr>
          <w:rFonts w:ascii="Times New Roman" w:hAnsi="Times New Roman" w:cs="Times New Roman"/>
          <w:b/>
          <w:bCs/>
          <w:color w:val="auto"/>
          <w:szCs w:val="20"/>
        </w:rPr>
        <w:t>17% del fatturato</w:t>
      </w:r>
      <w:r w:rsidR="00354D29" w:rsidRPr="00354D29">
        <w:rPr>
          <w:rFonts w:ascii="Times New Roman" w:hAnsi="Times New Roman" w:cs="Times New Roman"/>
          <w:color w:val="auto"/>
          <w:szCs w:val="20"/>
        </w:rPr>
        <w:t> dell’industria manifatturiera italiana, il </w:t>
      </w:r>
      <w:r w:rsidR="00354D29" w:rsidRPr="00354D29">
        <w:rPr>
          <w:rFonts w:ascii="Times New Roman" w:hAnsi="Times New Roman" w:cs="Times New Roman"/>
          <w:b/>
          <w:bCs/>
          <w:color w:val="auto"/>
          <w:szCs w:val="20"/>
        </w:rPr>
        <w:t>16% del valore aggiunto</w:t>
      </w:r>
      <w:r w:rsidR="00354D29" w:rsidRPr="00354D29">
        <w:rPr>
          <w:rFonts w:ascii="Times New Roman" w:hAnsi="Times New Roman" w:cs="Times New Roman"/>
          <w:color w:val="auto"/>
          <w:szCs w:val="20"/>
        </w:rPr>
        <w:t> e il </w:t>
      </w:r>
      <w:r w:rsidR="00354D29" w:rsidRPr="00354D29">
        <w:rPr>
          <w:rFonts w:ascii="Times New Roman" w:hAnsi="Times New Roman" w:cs="Times New Roman"/>
          <w:b/>
          <w:bCs/>
          <w:color w:val="auto"/>
          <w:szCs w:val="20"/>
        </w:rPr>
        <w:t>14% sia delle esportazioni sia dell’occupazione complessiva</w:t>
      </w:r>
      <w:r w:rsidR="00354D29" w:rsidRPr="00354D29">
        <w:rPr>
          <w:rFonts w:ascii="Times New Roman" w:hAnsi="Times New Roman" w:cs="Times New Roman"/>
          <w:color w:val="auto"/>
          <w:szCs w:val="20"/>
        </w:rPr>
        <w:t>. In Liguria, il </w:t>
      </w:r>
      <w:r w:rsidR="00354D29" w:rsidRPr="00354D29">
        <w:rPr>
          <w:rFonts w:ascii="Times New Roman" w:hAnsi="Times New Roman" w:cs="Times New Roman"/>
          <w:b/>
          <w:bCs/>
          <w:color w:val="auto"/>
          <w:szCs w:val="20"/>
        </w:rPr>
        <w:t>60% delle medie imprese</w:t>
      </w:r>
      <w:r w:rsidR="00354D29" w:rsidRPr="00354D29">
        <w:rPr>
          <w:rFonts w:ascii="Times New Roman" w:hAnsi="Times New Roman" w:cs="Times New Roman"/>
          <w:color w:val="auto"/>
          <w:szCs w:val="20"/>
        </w:rPr>
        <w:t> è concentrato nell’area di </w:t>
      </w:r>
      <w:r w:rsidR="00354D29" w:rsidRPr="00354D29">
        <w:rPr>
          <w:rFonts w:ascii="Times New Roman" w:hAnsi="Times New Roman" w:cs="Times New Roman"/>
          <w:b/>
          <w:bCs/>
          <w:color w:val="auto"/>
          <w:szCs w:val="20"/>
        </w:rPr>
        <w:t>Genova</w:t>
      </w:r>
      <w:r w:rsidR="00354D29" w:rsidRPr="00354D29">
        <w:rPr>
          <w:rFonts w:ascii="Times New Roman" w:hAnsi="Times New Roman" w:cs="Times New Roman"/>
          <w:color w:val="auto"/>
          <w:szCs w:val="20"/>
        </w:rPr>
        <w:t>, dove realizzano un fatturato pari a </w:t>
      </w:r>
      <w:r w:rsidR="00354D29" w:rsidRPr="00354D29">
        <w:rPr>
          <w:rFonts w:ascii="Times New Roman" w:hAnsi="Times New Roman" w:cs="Times New Roman"/>
          <w:b/>
          <w:bCs/>
          <w:color w:val="auto"/>
          <w:szCs w:val="20"/>
        </w:rPr>
        <w:t>937 milioni di euro</w:t>
      </w:r>
      <w:r w:rsidR="00354D29" w:rsidRPr="00354D29">
        <w:rPr>
          <w:rFonts w:ascii="Times New Roman" w:hAnsi="Times New Roman" w:cs="Times New Roman"/>
          <w:color w:val="auto"/>
          <w:szCs w:val="20"/>
        </w:rPr>
        <w:t>, corrispondente a circa il </w:t>
      </w:r>
      <w:r w:rsidR="00354D29" w:rsidRPr="00354D29">
        <w:rPr>
          <w:rFonts w:ascii="Times New Roman" w:hAnsi="Times New Roman" w:cs="Times New Roman"/>
          <w:b/>
          <w:bCs/>
          <w:color w:val="auto"/>
          <w:szCs w:val="20"/>
        </w:rPr>
        <w:t>61% del totale regionale</w:t>
      </w:r>
      <w:r w:rsidR="00354D29" w:rsidRPr="00354D29">
        <w:rPr>
          <w:rFonts w:ascii="Times New Roman" w:hAnsi="Times New Roman" w:cs="Times New Roman"/>
          <w:color w:val="auto"/>
          <w:szCs w:val="20"/>
        </w:rPr>
        <w:t>.</w:t>
      </w:r>
    </w:p>
    <w:p w14:paraId="1732F45E" w14:textId="77777777" w:rsidR="00354D29" w:rsidRDefault="00354D29" w:rsidP="006E0EEB">
      <w:pPr>
        <w:pStyle w:val="Default"/>
        <w:jc w:val="both"/>
        <w:rPr>
          <w:rFonts w:ascii="Times New Roman" w:hAnsi="Times New Roman" w:cs="Times New Roman"/>
          <w:color w:val="auto"/>
          <w:szCs w:val="20"/>
        </w:rPr>
      </w:pPr>
    </w:p>
    <w:p w14:paraId="532B7D89" w14:textId="4774C2D1" w:rsidR="00533B37" w:rsidRDefault="006E0EEB" w:rsidP="006E0EEB">
      <w:r w:rsidRPr="006E0EEB">
        <w:t>Tutta la documentazione è disponibile per il download sui siti:</w:t>
      </w:r>
      <w:r w:rsidR="00C056DA">
        <w:t xml:space="preserve"> </w:t>
      </w:r>
      <w:r w:rsidRPr="006E0EEB">
        <w:t xml:space="preserve">www.areastudimediobanca.com, </w:t>
      </w:r>
      <w:hyperlink r:id="rId8" w:history="1">
        <w:r w:rsidR="007E29A4" w:rsidRPr="00F0242D">
          <w:rPr>
            <w:rStyle w:val="Hyperlink"/>
          </w:rPr>
          <w:t>www.unioncamere.gov.it</w:t>
        </w:r>
      </w:hyperlink>
      <w:r w:rsidR="007E29A4">
        <w:t xml:space="preserve"> e</w:t>
      </w:r>
      <w:r w:rsidRPr="006E0EEB">
        <w:t xml:space="preserve"> www.tagliacarne.it</w:t>
      </w:r>
    </w:p>
    <w:p w14:paraId="584F1A2A" w14:textId="77777777" w:rsidR="00397CBF" w:rsidRDefault="00397CBF" w:rsidP="00533B37"/>
    <w:p w14:paraId="26300784" w14:textId="0EDC38B9" w:rsidR="00F617BA" w:rsidRPr="00071FF0" w:rsidRDefault="00F617BA" w:rsidP="00F617BA">
      <w:r w:rsidRPr="00071FF0">
        <w:lastRenderedPageBreak/>
        <w:t>“</w:t>
      </w:r>
      <w:r w:rsidR="00071FF0" w:rsidRPr="00071FF0">
        <w:t xml:space="preserve">Costi dell’energia e mismatch sono certamente un problema per le </w:t>
      </w:r>
      <w:r w:rsidR="008B191F">
        <w:t>m</w:t>
      </w:r>
      <w:r w:rsidR="00071FF0" w:rsidRPr="00071FF0">
        <w:t xml:space="preserve">edie </w:t>
      </w:r>
      <w:r w:rsidR="008B191F">
        <w:t>i</w:t>
      </w:r>
      <w:r w:rsidR="00071FF0" w:rsidRPr="00071FF0">
        <w:t>mprese industriali, che peraltro confermano anche quest’anno di essere un segmento altamente competitivo del sistema produttivo nazionale”</w:t>
      </w:r>
      <w:r w:rsidRPr="00071FF0">
        <w:rPr>
          <w:b/>
          <w:bCs/>
        </w:rPr>
        <w:t xml:space="preserve"> </w:t>
      </w:r>
      <w:r w:rsidRPr="00071FF0">
        <w:t>ha detto</w:t>
      </w:r>
      <w:r w:rsidRPr="00071FF0">
        <w:rPr>
          <w:b/>
          <w:bCs/>
        </w:rPr>
        <w:t xml:space="preserve"> Andrea Prete, Presidente di Unioncamere</w:t>
      </w:r>
      <w:r w:rsidR="00071FF0" w:rsidRPr="00071FF0">
        <w:rPr>
          <w:b/>
          <w:bCs/>
        </w:rPr>
        <w:t xml:space="preserve">. </w:t>
      </w:r>
      <w:r w:rsidR="00071FF0" w:rsidRPr="0024221C">
        <w:t>“</w:t>
      </w:r>
      <w:r w:rsidR="00071FF0" w:rsidRPr="00071FF0">
        <w:t xml:space="preserve">Speriamo che le incertezze del contesto internazionale non creino shock che penalizzino questi campioni del </w:t>
      </w:r>
      <w:r w:rsidR="008B191F">
        <w:t>m</w:t>
      </w:r>
      <w:r w:rsidR="00071FF0" w:rsidRPr="00071FF0">
        <w:t>ade in Italy”.</w:t>
      </w:r>
    </w:p>
    <w:p w14:paraId="04723D17" w14:textId="77777777" w:rsidR="00D61071" w:rsidRPr="00071FF0" w:rsidRDefault="00D61071" w:rsidP="00153730">
      <w:pPr>
        <w:rPr>
          <w:b/>
          <w:bCs/>
        </w:rPr>
      </w:pPr>
    </w:p>
    <w:p w14:paraId="598321C8" w14:textId="78FF9977" w:rsidR="003B39CB" w:rsidRDefault="00D61071" w:rsidP="0055729F">
      <w:pPr>
        <w:rPr>
          <w:b/>
          <w:bCs/>
        </w:rPr>
      </w:pPr>
      <w:r w:rsidRPr="00D13123">
        <w:t>“</w:t>
      </w:r>
      <w:r w:rsidR="004B1FAD" w:rsidRPr="00D13123">
        <w:t>È dal post Covid che le medie imprese ravvisano la necessità di raggiungere una dimensione funzionale alla complessità del contesto. Si tratta di un obiettivo da perseguire con prudenza poiché comporta interventi organizzativi, manageriali e di governance, ma è certamente conforme ai nuovi scenari competitivi</w:t>
      </w:r>
      <w:r w:rsidRPr="00D13123">
        <w:t>”</w:t>
      </w:r>
      <w:r w:rsidR="00D13123" w:rsidRPr="00D13123">
        <w:t xml:space="preserve"> – commenta</w:t>
      </w:r>
      <w:r w:rsidR="00D13123">
        <w:t xml:space="preserve"> </w:t>
      </w:r>
      <w:r w:rsidRPr="00D13123">
        <w:rPr>
          <w:b/>
          <w:bCs/>
        </w:rPr>
        <w:t>Gabriele Barbaresco, Direttore dell’Area Studi Mediobanca.</w:t>
      </w:r>
    </w:p>
    <w:p w14:paraId="6C049FB4" w14:textId="77777777" w:rsidR="00EF2E60" w:rsidRPr="00D13123" w:rsidRDefault="00EF2E60" w:rsidP="0055729F"/>
    <w:p w14:paraId="0C93402A" w14:textId="2FEA0E7D" w:rsidR="00EF2E60" w:rsidRPr="00EF2E60" w:rsidRDefault="008B191F" w:rsidP="00EF2E60">
      <w:pPr>
        <w:rPr>
          <w:color w:val="222222"/>
        </w:rPr>
      </w:pPr>
      <w:r w:rsidRPr="00D13123">
        <w:t>“</w:t>
      </w:r>
      <w:r w:rsidR="002C6DB5">
        <w:rPr>
          <w:color w:val="222222"/>
        </w:rPr>
        <w:t>Le</w:t>
      </w:r>
      <w:r w:rsidR="00EF2E60" w:rsidRPr="00EF2E60">
        <w:rPr>
          <w:color w:val="222222"/>
        </w:rPr>
        <w:t xml:space="preserve"> medie imprese contribuiscono per il 45% all’export italiano e hanno una propensione ad esportare del 42%</w:t>
      </w:r>
      <w:r w:rsidRPr="00D13123">
        <w:t>”</w:t>
      </w:r>
      <w:r w:rsidR="00EF2E60" w:rsidRPr="00EF2E60">
        <w:rPr>
          <w:color w:val="222222"/>
        </w:rPr>
        <w:t xml:space="preserve">. Lo ha detto </w:t>
      </w:r>
      <w:r w:rsidR="00EF2E60" w:rsidRPr="00EF2E60">
        <w:rPr>
          <w:b/>
          <w:bCs/>
          <w:color w:val="222222"/>
        </w:rPr>
        <w:t>Giuseppe Molinari</w:t>
      </w:r>
      <w:r w:rsidR="00EF2E60" w:rsidRPr="00EF2E60">
        <w:rPr>
          <w:color w:val="222222"/>
        </w:rPr>
        <w:t xml:space="preserve"> presidente del </w:t>
      </w:r>
      <w:r w:rsidR="00EF2E60" w:rsidRPr="00EF2E60">
        <w:rPr>
          <w:b/>
          <w:bCs/>
          <w:color w:val="222222"/>
        </w:rPr>
        <w:t xml:space="preserve">Centro Studi Tagliacarne </w:t>
      </w:r>
      <w:r w:rsidR="00EF2E60" w:rsidRPr="00EF2E60">
        <w:rPr>
          <w:color w:val="222222"/>
        </w:rPr>
        <w:t xml:space="preserve">che ha aggiunto </w:t>
      </w:r>
      <w:r w:rsidRPr="00D13123">
        <w:t>“</w:t>
      </w:r>
      <w:r w:rsidR="00EF2E60" w:rsidRPr="00EF2E60">
        <w:rPr>
          <w:color w:val="222222"/>
        </w:rPr>
        <w:t>queste realtà produttive, con le loro elevate performance, sono la prova provata che quando il family business si organizza, anche dal punto di vista manageriale, e si apre alla competizione allargata, dà vita a un modello di successo per innovazione e produttività, anche nei confronti degli altri competitors</w:t>
      </w:r>
      <w:r w:rsidRPr="00D13123">
        <w:t>”</w:t>
      </w:r>
      <w:r>
        <w:t>.</w:t>
      </w:r>
    </w:p>
    <w:p w14:paraId="0811378B" w14:textId="77777777" w:rsidR="00EF2E60" w:rsidRPr="00EF2E60" w:rsidRDefault="00EF2E60" w:rsidP="00EF2E60">
      <w:pPr>
        <w:rPr>
          <w:color w:val="222222"/>
        </w:rPr>
      </w:pPr>
    </w:p>
    <w:p w14:paraId="29D57E36" w14:textId="413A943F" w:rsidR="00EF2E60" w:rsidRPr="00EF2E60" w:rsidRDefault="00EF2E60" w:rsidP="00EF2E60">
      <w:pPr>
        <w:rPr>
          <w:rFonts w:ascii="Aptos" w:hAnsi="Aptos" w:cs="Arial"/>
          <w:color w:val="222222"/>
        </w:rPr>
      </w:pPr>
      <w:r>
        <w:rPr>
          <w:color w:val="000000"/>
          <w:szCs w:val="24"/>
        </w:rPr>
        <w:t>“</w:t>
      </w:r>
      <w:r w:rsidRPr="00EF2E60">
        <w:rPr>
          <w:color w:val="000000"/>
          <w:szCs w:val="24"/>
        </w:rPr>
        <w:t>Oggi le medie imprese sono per produttività, fatturato e occupazione la punta di diamante dell'industria italiana, in uno scenario internazionale ogni giorno più incerto e mutevole</w:t>
      </w:r>
      <w:r>
        <w:rPr>
          <w:color w:val="000000"/>
          <w:szCs w:val="24"/>
        </w:rPr>
        <w:t xml:space="preserve">”, sottolinea </w:t>
      </w:r>
      <w:r w:rsidRPr="00EF2E60">
        <w:rPr>
          <w:b/>
          <w:bCs/>
          <w:color w:val="222222"/>
        </w:rPr>
        <w:t>Luigi Attanasio</w:t>
      </w:r>
      <w:r w:rsidRPr="00EF2E60">
        <w:rPr>
          <w:color w:val="222222"/>
        </w:rPr>
        <w:t xml:space="preserve">,  Presidente </w:t>
      </w:r>
      <w:r w:rsidRPr="00EF2E60">
        <w:rPr>
          <w:b/>
          <w:bCs/>
          <w:color w:val="222222"/>
        </w:rPr>
        <w:t>Camera di Commercio di Genova</w:t>
      </w:r>
      <w:r>
        <w:rPr>
          <w:rFonts w:ascii="Aptos" w:hAnsi="Aptos" w:cs="Arial"/>
          <w:color w:val="222222"/>
        </w:rPr>
        <w:t xml:space="preserve">. </w:t>
      </w:r>
      <w:r w:rsidR="008B191F">
        <w:rPr>
          <w:color w:val="000000"/>
          <w:szCs w:val="24"/>
        </w:rPr>
        <w:t>“</w:t>
      </w:r>
      <w:r w:rsidRPr="00EF2E60">
        <w:rPr>
          <w:color w:val="000000"/>
          <w:szCs w:val="24"/>
        </w:rPr>
        <w:t>Per Genova e la Liguria la sfida è creare le condizioni perché le piccole e medie imprese di oggi possano crescere,</w:t>
      </w:r>
      <w:r>
        <w:rPr>
          <w:color w:val="000000"/>
          <w:szCs w:val="24"/>
        </w:rPr>
        <w:t xml:space="preserve"> </w:t>
      </w:r>
      <w:r w:rsidRPr="00EF2E60">
        <w:rPr>
          <w:color w:val="000000"/>
          <w:szCs w:val="24"/>
        </w:rPr>
        <w:t>consolidarsi e diventare il perno di un sistema economico equilibrato e competitivo. Per questo la Camera di Commercio di Genova ha scelto di investire in attività di promozione della cultura finanziaria e orientamento all’impresa in tema di internazionalizzazione, doppia transizione (digitale e sostenibile) e innovazione</w:t>
      </w:r>
      <w:r>
        <w:rPr>
          <w:color w:val="000000"/>
          <w:szCs w:val="24"/>
        </w:rPr>
        <w:t xml:space="preserve">”. </w:t>
      </w:r>
    </w:p>
    <w:p w14:paraId="7E57AC10" w14:textId="77777777" w:rsidR="00EF2E60" w:rsidRDefault="00EF2E60" w:rsidP="00EF2E60">
      <w:pPr>
        <w:rPr>
          <w:rFonts w:ascii="Aptos" w:hAnsi="Aptos" w:cs="Arial"/>
          <w:color w:val="222222"/>
        </w:rPr>
      </w:pPr>
    </w:p>
    <w:p w14:paraId="5F05FE38" w14:textId="4B3880B5" w:rsidR="000D41A5" w:rsidRPr="00C7169A" w:rsidRDefault="000D41A5" w:rsidP="0055729F">
      <w:pPr>
        <w:rPr>
          <w:b/>
          <w:bCs/>
        </w:rPr>
      </w:pPr>
      <w:r w:rsidRPr="00C7169A">
        <w:rPr>
          <w:b/>
          <w:bCs/>
        </w:rPr>
        <w:t>Il 2025 tra segnali di ripresa e sfide aperte</w:t>
      </w:r>
    </w:p>
    <w:p w14:paraId="77D51033" w14:textId="027DC79A" w:rsidR="000D41A5" w:rsidRDefault="000D41A5" w:rsidP="0055729F">
      <w:r w:rsidRPr="00171D9C">
        <w:t xml:space="preserve">Dopo un </w:t>
      </w:r>
      <w:r w:rsidR="006B5555" w:rsidRPr="00171D9C">
        <w:t xml:space="preserve">2023 e un </w:t>
      </w:r>
      <w:r w:rsidRPr="00171D9C">
        <w:t>2024 segnat</w:t>
      </w:r>
      <w:r w:rsidR="006B5555" w:rsidRPr="00171D9C">
        <w:t>i</w:t>
      </w:r>
      <w:r w:rsidRPr="00171D9C">
        <w:t xml:space="preserve"> da una lieve contrazione del fatturato</w:t>
      </w:r>
      <w:r w:rsidR="00D86522" w:rsidRPr="00171D9C">
        <w:t xml:space="preserve"> totale</w:t>
      </w:r>
      <w:r w:rsidRPr="00171D9C">
        <w:t xml:space="preserve"> (</w:t>
      </w:r>
      <w:r w:rsidR="006B5555" w:rsidRPr="00171D9C">
        <w:t xml:space="preserve">rispettivamente -1,5% e </w:t>
      </w:r>
      <w:r w:rsidRPr="00171D9C">
        <w:t xml:space="preserve">-1,3%), ma </w:t>
      </w:r>
      <w:r w:rsidR="00A412CC">
        <w:t>con l’export in crescita</w:t>
      </w:r>
      <w:r w:rsidRPr="00171D9C">
        <w:t xml:space="preserve"> (</w:t>
      </w:r>
      <w:r w:rsidR="006B5555" w:rsidRPr="00171D9C">
        <w:t xml:space="preserve">+0,1% e </w:t>
      </w:r>
      <w:r w:rsidRPr="00171D9C">
        <w:t xml:space="preserve">+2,5%), le aspettative per il 2025 </w:t>
      </w:r>
      <w:r w:rsidR="00A412CC">
        <w:t>appaiono</w:t>
      </w:r>
      <w:r w:rsidRPr="00171D9C">
        <w:t xml:space="preserve"> cautamente </w:t>
      </w:r>
      <w:r w:rsidR="00A412CC">
        <w:t>ottimistiche</w:t>
      </w:r>
      <w:r w:rsidRPr="00171D9C">
        <w:t>. Le medie imprese prevedono infatti un aumento delle vendite totali del 2,2% e di quelle oltreconfine del 2,8%.</w:t>
      </w:r>
      <w:r w:rsidR="001B1F1C" w:rsidRPr="00171D9C">
        <w:t xml:space="preserve"> </w:t>
      </w:r>
      <w:r w:rsidR="00EC7B8C">
        <w:t>I</w:t>
      </w:r>
      <w:r w:rsidR="00EC7B8C" w:rsidRPr="00EC7B8C">
        <w:t>n un contesto competitivo sempre più complesso, si delineano elementi di vulnerabilità che potrebbero compromettere la traiettoria di crescita</w:t>
      </w:r>
      <w:r w:rsidR="00EC7B8C">
        <w:t>.</w:t>
      </w:r>
      <w:r w:rsidR="000276FB">
        <w:t xml:space="preserve"> </w:t>
      </w:r>
      <w:r w:rsidR="007952CE">
        <w:t>In un’analisi comparata tra medie e medio-grandi imprese</w:t>
      </w:r>
      <w:r w:rsidR="00157A44">
        <w:rPr>
          <w:rStyle w:val="FootnoteReference"/>
        </w:rPr>
        <w:footnoteReference w:id="1"/>
      </w:r>
      <w:r w:rsidR="007952CE">
        <w:t>, l</w:t>
      </w:r>
      <w:r w:rsidR="001B1F1C">
        <w:t>a principale criticità</w:t>
      </w:r>
      <w:r w:rsidR="007952CE">
        <w:t xml:space="preserve"> è rappresentata dalla concorrenza di prezzo: </w:t>
      </w:r>
      <w:r w:rsidR="00816F0F">
        <w:t xml:space="preserve">a </w:t>
      </w:r>
      <w:r w:rsidR="007952CE">
        <w:t xml:space="preserve">lanciare l’allarme è il 69,9% </w:t>
      </w:r>
      <w:r w:rsidR="00816F0F">
        <w:t xml:space="preserve">delle </w:t>
      </w:r>
      <w:r w:rsidR="007952CE">
        <w:t>prime e il 61,9% delle seconde.</w:t>
      </w:r>
      <w:r w:rsidR="00F06884">
        <w:t xml:space="preserve"> Il ribasso dei listini dei competitors è visto come un rischio concreto di tenuta sul mercato</w:t>
      </w:r>
      <w:r w:rsidR="00816F0F">
        <w:t>; a</w:t>
      </w:r>
      <w:r w:rsidR="00F06884">
        <w:t xml:space="preserve">l contrario la competizione sulla qualità dei prodotti sembra </w:t>
      </w:r>
      <w:r w:rsidR="00816F0F">
        <w:t>generare</w:t>
      </w:r>
      <w:r w:rsidR="00F06884">
        <w:t xml:space="preserve"> </w:t>
      </w:r>
      <w:r w:rsidR="002C6DB5">
        <w:t xml:space="preserve">meno </w:t>
      </w:r>
      <w:r w:rsidR="00F06884">
        <w:t xml:space="preserve">timori, coinvolgendo solo il 13,6% delle </w:t>
      </w:r>
      <w:proofErr w:type="spellStart"/>
      <w:r w:rsidR="00F06884">
        <w:t>Mid</w:t>
      </w:r>
      <w:proofErr w:type="spellEnd"/>
      <w:r w:rsidR="00F06884">
        <w:t>-Cap e il 17% delle medio-grandi</w:t>
      </w:r>
      <w:r w:rsidR="00171D9C">
        <w:t>.</w:t>
      </w:r>
      <w:r w:rsidR="005C19ED">
        <w:t xml:space="preserve"> </w:t>
      </w:r>
      <w:r w:rsidR="00171D9C">
        <w:t>Ciò è dovuto</w:t>
      </w:r>
      <w:r w:rsidR="005C19ED">
        <w:t xml:space="preserve"> </w:t>
      </w:r>
      <w:r w:rsidR="00171D9C">
        <w:t xml:space="preserve">anche alla specializzazione delle prime in produzioni di nicchia a maggior valore aggiunto che le preservano maggiormente da tale rischio. </w:t>
      </w:r>
      <w:r w:rsidR="00F06884">
        <w:t xml:space="preserve">A pesare sul clima di incertezza è anche l’instabilità geopolitica, indicata come secondo fattore critico dal 51,8% delle medie imprese e dal 56,5% delle medio-grandi. </w:t>
      </w:r>
    </w:p>
    <w:p w14:paraId="4EB35A38" w14:textId="77777777" w:rsidR="00F06884" w:rsidRDefault="00F06884" w:rsidP="0055729F"/>
    <w:p w14:paraId="62A5F86B" w14:textId="77777777" w:rsidR="004E152E" w:rsidRDefault="004E152E" w:rsidP="00F06884">
      <w:pPr>
        <w:rPr>
          <w:b/>
          <w:bCs/>
          <w:szCs w:val="24"/>
        </w:rPr>
      </w:pPr>
    </w:p>
    <w:p w14:paraId="667CAEB3" w14:textId="77777777" w:rsidR="00C056DA" w:rsidRDefault="00C056DA">
      <w:pPr>
        <w:jc w:val="left"/>
        <w:rPr>
          <w:b/>
          <w:bCs/>
          <w:szCs w:val="24"/>
        </w:rPr>
      </w:pPr>
      <w:r>
        <w:rPr>
          <w:b/>
          <w:bCs/>
          <w:szCs w:val="24"/>
        </w:rPr>
        <w:br w:type="page"/>
      </w:r>
    </w:p>
    <w:p w14:paraId="2F910C4B" w14:textId="5B04E972" w:rsidR="00F06884" w:rsidRPr="00C7169A" w:rsidRDefault="00F06884" w:rsidP="00F06884">
      <w:pPr>
        <w:rPr>
          <w:b/>
          <w:bCs/>
          <w:szCs w:val="24"/>
        </w:rPr>
      </w:pPr>
      <w:r w:rsidRPr="00C7169A">
        <w:rPr>
          <w:b/>
          <w:bCs/>
          <w:szCs w:val="24"/>
        </w:rPr>
        <w:lastRenderedPageBreak/>
        <w:t>Principali sfide segnalate dalle aziende (in % delle imprese rispondenti)</w:t>
      </w:r>
    </w:p>
    <w:p w14:paraId="22F16674" w14:textId="07B194CD" w:rsidR="00F06884" w:rsidRPr="00F06884" w:rsidRDefault="00F06884" w:rsidP="0055729F">
      <w:r w:rsidRPr="00C7169A">
        <w:rPr>
          <w:b/>
          <w:bCs/>
          <w:noProof/>
          <w:color w:val="002060"/>
          <w:sz w:val="20"/>
        </w:rPr>
        <w:drawing>
          <wp:inline distT="0" distB="0" distL="0" distR="0" wp14:anchorId="42A63FFC" wp14:editId="1A57A93B">
            <wp:extent cx="5580380" cy="3204752"/>
            <wp:effectExtent l="0" t="0" r="1270" b="0"/>
            <wp:docPr id="976333360" name="Grafico 1">
              <a:extLst xmlns:a="http://schemas.openxmlformats.org/drawingml/2006/main">
                <a:ext uri="{FF2B5EF4-FFF2-40B4-BE49-F238E27FC236}">
                  <a16:creationId xmlns:a16="http://schemas.microsoft.com/office/drawing/2014/main" id="{7130D633-4E79-4D28-B39E-C27B5941690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21D15694" w14:textId="77777777" w:rsidR="00F06884" w:rsidRPr="00C7169A" w:rsidRDefault="00F06884" w:rsidP="00F06884">
      <w:pPr>
        <w:rPr>
          <w:sz w:val="16"/>
          <w:szCs w:val="16"/>
        </w:rPr>
      </w:pPr>
      <w:r w:rsidRPr="00C7169A">
        <w:rPr>
          <w:i/>
          <w:iCs/>
          <w:sz w:val="16"/>
          <w:szCs w:val="16"/>
        </w:rPr>
        <w:t>Fonte</w:t>
      </w:r>
      <w:r w:rsidRPr="00C7169A">
        <w:rPr>
          <w:sz w:val="16"/>
          <w:szCs w:val="16"/>
        </w:rPr>
        <w:t>: Indagine Area Studi Mediobanca, 2025 (domanda a risposta multipla)</w:t>
      </w:r>
    </w:p>
    <w:p w14:paraId="7D6AA35D" w14:textId="77777777" w:rsidR="000D41A5" w:rsidRDefault="000D41A5" w:rsidP="00F700DA"/>
    <w:p w14:paraId="6CB930F7" w14:textId="2E5F06CF" w:rsidR="00E040A3" w:rsidRDefault="00816F0F" w:rsidP="00E040A3">
      <w:r>
        <w:t xml:space="preserve">Tra </w:t>
      </w:r>
      <w:r w:rsidR="00A412CC">
        <w:t>i fattori</w:t>
      </w:r>
      <w:r>
        <w:t xml:space="preserve"> di criticità </w:t>
      </w:r>
      <w:r w:rsidR="00A412CC">
        <w:t>torna a pesare in modo significativo</w:t>
      </w:r>
      <w:r>
        <w:t xml:space="preserve"> la</w:t>
      </w:r>
      <w:r w:rsidR="00E040A3">
        <w:t xml:space="preserve"> pressione fiscale </w:t>
      </w:r>
      <w:r>
        <w:t xml:space="preserve">che </w:t>
      </w:r>
      <w:r w:rsidR="00A412CC">
        <w:t>si conferma particolarmente</w:t>
      </w:r>
      <w:r w:rsidR="00E040A3">
        <w:t xml:space="preserve"> penalizzante per le imprese di taglia</w:t>
      </w:r>
      <w:r w:rsidR="00D86522">
        <w:t xml:space="preserve"> media</w:t>
      </w:r>
      <w:r w:rsidR="00482AD8">
        <w:t>. N</w:t>
      </w:r>
      <w:r w:rsidR="00E040A3">
        <w:t>el confronto con le grandi</w:t>
      </w:r>
      <w:r w:rsidR="00482AD8">
        <w:t xml:space="preserve"> aziende,</w:t>
      </w:r>
      <w:r>
        <w:t xml:space="preserve"> </w:t>
      </w:r>
      <w:r w:rsidR="00482AD8">
        <w:t>queste ultime</w:t>
      </w:r>
      <w:r w:rsidR="00E040A3">
        <w:t xml:space="preserve"> </w:t>
      </w:r>
      <w:r w:rsidR="00482AD8">
        <w:t>beneficiano di</w:t>
      </w:r>
      <w:r w:rsidR="00E040A3">
        <w:t xml:space="preserve"> un tax-rate </w:t>
      </w:r>
      <w:r w:rsidR="002C6DB5">
        <w:t xml:space="preserve">inferiore </w:t>
      </w:r>
      <w:r w:rsidR="00E040A3">
        <w:t>di 5,8 punti. Si tratta di un divario che comporta un impatto economico rilevante</w:t>
      </w:r>
      <w:r w:rsidR="006D7672">
        <w:t xml:space="preserve"> </w:t>
      </w:r>
      <w:r w:rsidR="00E040A3">
        <w:t>perché se le prime avessero beneficiato della medesima aliquota delle seconde, avrebbero risparmiato in un decennio 6,2 miliardi di euro</w:t>
      </w:r>
      <w:r w:rsidR="001C3471">
        <w:t>, di cui oltre un miliardo solo nell’ultimo anno.</w:t>
      </w:r>
    </w:p>
    <w:p w14:paraId="4A2CB511" w14:textId="77777777" w:rsidR="00613616" w:rsidRDefault="00613616" w:rsidP="00E040A3"/>
    <w:p w14:paraId="6FD38635" w14:textId="4200E5B9" w:rsidR="00613616" w:rsidRPr="005F67AB" w:rsidRDefault="00613616" w:rsidP="00613616">
      <w:pPr>
        <w:rPr>
          <w:b/>
          <w:bCs/>
        </w:rPr>
      </w:pPr>
      <w:r w:rsidRPr="005F67AB">
        <w:rPr>
          <w:b/>
          <w:bCs/>
        </w:rPr>
        <w:t xml:space="preserve">Italia </w:t>
      </w:r>
      <w:r>
        <w:rPr>
          <w:b/>
          <w:bCs/>
        </w:rPr>
        <w:t xml:space="preserve">prima tra </w:t>
      </w:r>
      <w:r w:rsidRPr="005F67AB">
        <w:rPr>
          <w:b/>
          <w:bCs/>
        </w:rPr>
        <w:t xml:space="preserve">i grandi </w:t>
      </w:r>
      <w:r>
        <w:rPr>
          <w:b/>
          <w:bCs/>
        </w:rPr>
        <w:t>dell’</w:t>
      </w:r>
      <w:r w:rsidRPr="005F67AB">
        <w:rPr>
          <w:b/>
          <w:bCs/>
        </w:rPr>
        <w:t>U</w:t>
      </w:r>
      <w:r w:rsidR="00816F0F">
        <w:rPr>
          <w:b/>
          <w:bCs/>
        </w:rPr>
        <w:t>E</w:t>
      </w:r>
      <w:r w:rsidRPr="005F67AB">
        <w:rPr>
          <w:b/>
          <w:bCs/>
        </w:rPr>
        <w:t xml:space="preserve"> </w:t>
      </w:r>
      <w:r>
        <w:rPr>
          <w:b/>
          <w:bCs/>
        </w:rPr>
        <w:t>per p</w:t>
      </w:r>
      <w:r w:rsidRPr="005F67AB">
        <w:rPr>
          <w:b/>
          <w:bCs/>
        </w:rPr>
        <w:t>roduttività</w:t>
      </w:r>
      <w:r>
        <w:rPr>
          <w:b/>
          <w:bCs/>
        </w:rPr>
        <w:t>…</w:t>
      </w:r>
    </w:p>
    <w:p w14:paraId="20D09771" w14:textId="568524F8" w:rsidR="00613616" w:rsidRDefault="00613616" w:rsidP="00613616">
      <w:r>
        <w:t>Tra il 2014 e il 2023, la produttività del lavoro (valore aggiunto per dipendente) delle medie i</w:t>
      </w:r>
      <w:r w:rsidRPr="008E11C4">
        <w:t xml:space="preserve">mprese italiane </w:t>
      </w:r>
      <w:r>
        <w:t xml:space="preserve">è </w:t>
      </w:r>
      <w:r w:rsidRPr="008E11C4">
        <w:t>aument</w:t>
      </w:r>
      <w:r>
        <w:t>ata</w:t>
      </w:r>
      <w:r w:rsidRPr="008E11C4">
        <w:t xml:space="preserve"> del 31,3%, </w:t>
      </w:r>
      <w:r>
        <w:t xml:space="preserve">avanzando ad </w:t>
      </w:r>
      <w:r w:rsidRPr="008E11C4">
        <w:t xml:space="preserve">un ritmo più veloce di quello delle </w:t>
      </w:r>
      <w:r w:rsidR="00A412CC">
        <w:t>corrispettive</w:t>
      </w:r>
      <w:r>
        <w:t xml:space="preserve"> s</w:t>
      </w:r>
      <w:r w:rsidRPr="008E11C4">
        <w:t>pagn</w:t>
      </w:r>
      <w:r>
        <w:t>ole</w:t>
      </w:r>
      <w:r w:rsidRPr="008E11C4">
        <w:t xml:space="preserve"> (+29,9%), </w:t>
      </w:r>
      <w:r>
        <w:t>tedesche</w:t>
      </w:r>
      <w:r w:rsidRPr="008E11C4">
        <w:t xml:space="preserve"> (+25,8%) e </w:t>
      </w:r>
      <w:r>
        <w:t>f</w:t>
      </w:r>
      <w:r w:rsidRPr="008E11C4">
        <w:t>ranc</w:t>
      </w:r>
      <w:r>
        <w:t>esi</w:t>
      </w:r>
      <w:r w:rsidRPr="008E11C4">
        <w:t xml:space="preserve"> (+20,2%)</w:t>
      </w:r>
      <w:r>
        <w:t xml:space="preserve">. E se confrontiamo i valori assoluti della produttività del lavoro dei diversi </w:t>
      </w:r>
      <w:r w:rsidR="00816F0F">
        <w:t>P</w:t>
      </w:r>
      <w:r>
        <w:t xml:space="preserve">aesi, l’Italia supera </w:t>
      </w:r>
      <w:r w:rsidRPr="008E11C4">
        <w:t>del 3,3%</w:t>
      </w:r>
      <w:r>
        <w:t xml:space="preserve"> la Germania</w:t>
      </w:r>
      <w:r w:rsidRPr="008E11C4">
        <w:t xml:space="preserve">, del 14,7% </w:t>
      </w:r>
      <w:r>
        <w:t xml:space="preserve">la Francia e </w:t>
      </w:r>
      <w:r w:rsidRPr="008E11C4">
        <w:t xml:space="preserve">del 18,7% </w:t>
      </w:r>
      <w:r>
        <w:t xml:space="preserve">la Spagna. </w:t>
      </w:r>
    </w:p>
    <w:p w14:paraId="12236655" w14:textId="77777777" w:rsidR="00816F0F" w:rsidRDefault="00816F0F" w:rsidP="001344F4">
      <w:pPr>
        <w:rPr>
          <w:b/>
          <w:bCs/>
        </w:rPr>
      </w:pPr>
    </w:p>
    <w:p w14:paraId="4A0D7A92" w14:textId="36850C7E" w:rsidR="001344F4" w:rsidRPr="00C7169A" w:rsidRDefault="001344F4" w:rsidP="001344F4">
      <w:pPr>
        <w:rPr>
          <w:b/>
          <w:bCs/>
        </w:rPr>
      </w:pPr>
      <w:r w:rsidRPr="00C7169A">
        <w:rPr>
          <w:b/>
          <w:bCs/>
        </w:rPr>
        <w:t xml:space="preserve">Variazione % della produttività del lavoro delle </w:t>
      </w:r>
      <w:r>
        <w:rPr>
          <w:b/>
          <w:bCs/>
        </w:rPr>
        <w:t>medie imprese</w:t>
      </w:r>
      <w:r w:rsidRPr="00C7169A">
        <w:rPr>
          <w:b/>
          <w:bCs/>
        </w:rPr>
        <w:t xml:space="preserve"> nel periodo 2014-2023</w:t>
      </w:r>
    </w:p>
    <w:p w14:paraId="50255F25" w14:textId="652A9564" w:rsidR="001344F4" w:rsidRDefault="001344F4" w:rsidP="00C7169A">
      <w:pPr>
        <w:jc w:val="center"/>
      </w:pPr>
      <w:r w:rsidRPr="001344F4">
        <w:rPr>
          <w:noProof/>
        </w:rPr>
        <w:drawing>
          <wp:inline distT="0" distB="0" distL="0" distR="0" wp14:anchorId="2DB20721" wp14:editId="61BEDBFF">
            <wp:extent cx="3420000" cy="2160000"/>
            <wp:effectExtent l="0" t="0" r="0" b="0"/>
            <wp:docPr id="1507603586" name="Grafico 1">
              <a:extLst xmlns:a="http://schemas.openxmlformats.org/drawingml/2006/main">
                <a:ext uri="{FF2B5EF4-FFF2-40B4-BE49-F238E27FC236}">
                  <a16:creationId xmlns:a16="http://schemas.microsoft.com/office/drawing/2014/main" id="{101AFAEF-1E51-B5F2-A63C-DA57CE7DD10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45D16763" w14:textId="0E94FEF5" w:rsidR="00613616" w:rsidRPr="003B19C1" w:rsidRDefault="001344F4" w:rsidP="00613616">
      <w:pPr>
        <w:rPr>
          <w:b/>
          <w:bCs/>
        </w:rPr>
      </w:pPr>
      <w:r w:rsidRPr="00C7169A">
        <w:rPr>
          <w:i/>
          <w:iCs/>
          <w:sz w:val="16"/>
          <w:szCs w:val="16"/>
        </w:rPr>
        <w:t>Fonte</w:t>
      </w:r>
      <w:r w:rsidRPr="00C7169A">
        <w:rPr>
          <w:sz w:val="16"/>
          <w:szCs w:val="16"/>
        </w:rPr>
        <w:t>: elaborazione Centro Studi Tagliacarne su dati Area Studi Mediobanca e Moody’s</w:t>
      </w:r>
    </w:p>
    <w:p w14:paraId="4937DE70" w14:textId="77777777" w:rsidR="00613616" w:rsidRPr="003B19C1" w:rsidRDefault="00613616" w:rsidP="00613616">
      <w:pPr>
        <w:rPr>
          <w:b/>
          <w:bCs/>
        </w:rPr>
      </w:pPr>
      <w:r>
        <w:rPr>
          <w:b/>
          <w:bCs/>
        </w:rPr>
        <w:lastRenderedPageBreak/>
        <w:t>…ma è seconda per fatturato, occupazione e i</w:t>
      </w:r>
      <w:r w:rsidRPr="003B19C1">
        <w:rPr>
          <w:b/>
          <w:bCs/>
        </w:rPr>
        <w:t xml:space="preserve">nnovazione </w:t>
      </w:r>
    </w:p>
    <w:p w14:paraId="7F5D3B56" w14:textId="1DE297E0" w:rsidR="00613616" w:rsidRDefault="00613616" w:rsidP="00613616">
      <w:r>
        <w:t xml:space="preserve">Le medie imprese italiane </w:t>
      </w:r>
      <w:r w:rsidR="00A412CC">
        <w:t>si posizionano al</w:t>
      </w:r>
      <w:r>
        <w:t xml:space="preserve"> </w:t>
      </w:r>
      <w:r w:rsidR="00A412CC">
        <w:t>secondo posto</w:t>
      </w:r>
      <w:r>
        <w:t xml:space="preserve"> tra i </w:t>
      </w:r>
      <w:r w:rsidR="00A412CC">
        <w:t xml:space="preserve">principali </w:t>
      </w:r>
      <w:r>
        <w:t xml:space="preserve">competitors europei per </w:t>
      </w:r>
      <w:r w:rsidR="00A412CC">
        <w:t>performance registrate</w:t>
      </w:r>
      <w:r>
        <w:t xml:space="preserve"> </w:t>
      </w:r>
      <w:r w:rsidR="00A412CC">
        <w:t>nell’ultimo decennio in termini di</w:t>
      </w:r>
      <w:r>
        <w:t xml:space="preserve"> fatturato (+</w:t>
      </w:r>
      <w:r w:rsidRPr="005F67AB">
        <w:t>54,9%</w:t>
      </w:r>
      <w:r>
        <w:t>) e di occupazione (+</w:t>
      </w:r>
      <w:r w:rsidRPr="005F67AB">
        <w:t>24,2%</w:t>
      </w:r>
      <w:r>
        <w:t xml:space="preserve">), </w:t>
      </w:r>
      <w:r w:rsidR="00A412CC">
        <w:t>superate solo dalle</w:t>
      </w:r>
      <w:r>
        <w:t xml:space="preserve"> </w:t>
      </w:r>
      <w:proofErr w:type="spellStart"/>
      <w:r w:rsidR="00A12F71">
        <w:t>Mid</w:t>
      </w:r>
      <w:proofErr w:type="spellEnd"/>
      <w:r w:rsidR="00A12F71">
        <w:t>-Cap</w:t>
      </w:r>
      <w:r>
        <w:t xml:space="preserve"> </w:t>
      </w:r>
      <w:r w:rsidR="00D86522">
        <w:t>spagnole</w:t>
      </w:r>
      <w:r>
        <w:t xml:space="preserve"> (rispettivamente </w:t>
      </w:r>
      <w:r w:rsidRPr="005F67AB">
        <w:t>+80,8%</w:t>
      </w:r>
      <w:r>
        <w:t xml:space="preserve"> e +</w:t>
      </w:r>
      <w:r w:rsidRPr="005F67AB">
        <w:t>45,8%</w:t>
      </w:r>
      <w:r>
        <w:t>)</w:t>
      </w:r>
      <w:r w:rsidR="00F23B1F">
        <w:t>. Confermano</w:t>
      </w:r>
      <w:r>
        <w:t xml:space="preserve"> la loro “supremazia” rispetto </w:t>
      </w:r>
      <w:r w:rsidR="00F23B1F">
        <w:t>alle omologhe</w:t>
      </w:r>
      <w:r>
        <w:t xml:space="preserve"> f</w:t>
      </w:r>
      <w:r w:rsidRPr="005F67AB">
        <w:t>ranc</w:t>
      </w:r>
      <w:r>
        <w:t>esi</w:t>
      </w:r>
      <w:r w:rsidRPr="005F67AB">
        <w:t xml:space="preserve"> </w:t>
      </w:r>
      <w:r>
        <w:t>(+</w:t>
      </w:r>
      <w:r w:rsidRPr="005F67AB">
        <w:t>41%</w:t>
      </w:r>
      <w:r>
        <w:t xml:space="preserve"> e</w:t>
      </w:r>
      <w:r w:rsidRPr="005F67AB">
        <w:t xml:space="preserve"> </w:t>
      </w:r>
      <w:r>
        <w:t>+</w:t>
      </w:r>
      <w:r w:rsidRPr="005F67AB">
        <w:t>11,5%</w:t>
      </w:r>
      <w:r>
        <w:t xml:space="preserve">) </w:t>
      </w:r>
      <w:r w:rsidRPr="005F67AB">
        <w:t xml:space="preserve">e </w:t>
      </w:r>
      <w:r>
        <w:t>tedesche (+</w:t>
      </w:r>
      <w:r w:rsidRPr="005F67AB">
        <w:t>38,5%</w:t>
      </w:r>
      <w:r>
        <w:t xml:space="preserve"> e +</w:t>
      </w:r>
      <w:r w:rsidRPr="005F67AB">
        <w:t>8,8%)</w:t>
      </w:r>
      <w:r>
        <w:t xml:space="preserve">. Anche </w:t>
      </w:r>
      <w:r w:rsidR="00F23B1F">
        <w:t>sul fronte del</w:t>
      </w:r>
      <w:r>
        <w:t>l’innovazione</w:t>
      </w:r>
      <w:r w:rsidR="00F23B1F">
        <w:t>,</w:t>
      </w:r>
      <w:r>
        <w:t xml:space="preserve"> l’Italia del capitalismo familiare conquista la “medaglia d’argento”: il 45,8% delle medie imprese tricolore possiede dei brevetti, una quota più bassa di quella tedesca (61,2%), ma più alta di quella francese (32,2%) e spagnola (3</w:t>
      </w:r>
      <w:r w:rsidR="00D86522">
        <w:t>1</w:t>
      </w:r>
      <w:r>
        <w:t>,2%).</w:t>
      </w:r>
    </w:p>
    <w:p w14:paraId="028E83B2" w14:textId="77777777" w:rsidR="00E906C2" w:rsidRDefault="00E906C2" w:rsidP="00E040A3"/>
    <w:p w14:paraId="2200F9E1" w14:textId="65F87C32" w:rsidR="00400025" w:rsidRPr="00C7169A" w:rsidRDefault="00400025" w:rsidP="00E040A3">
      <w:pPr>
        <w:rPr>
          <w:b/>
          <w:bCs/>
        </w:rPr>
      </w:pPr>
      <w:r w:rsidRPr="00C7169A">
        <w:rPr>
          <w:b/>
          <w:bCs/>
        </w:rPr>
        <w:t>Variazione % del fatturat</w:t>
      </w:r>
      <w:r w:rsidR="00DE2B20">
        <w:rPr>
          <w:b/>
          <w:bCs/>
        </w:rPr>
        <w:t>o</w:t>
      </w:r>
      <w:r w:rsidRPr="00C7169A">
        <w:rPr>
          <w:b/>
          <w:bCs/>
        </w:rPr>
        <w:t xml:space="preserve"> e del numero dei dipendenti delle medie imprese nel perio</w:t>
      </w:r>
      <w:r w:rsidR="007E264D">
        <w:rPr>
          <w:b/>
          <w:bCs/>
        </w:rPr>
        <w:t>d</w:t>
      </w:r>
      <w:r w:rsidRPr="00C7169A">
        <w:rPr>
          <w:b/>
          <w:bCs/>
        </w:rPr>
        <w:t>o 2014-2023</w:t>
      </w:r>
    </w:p>
    <w:p w14:paraId="7736EEC0" w14:textId="7E411871" w:rsidR="00400025" w:rsidRDefault="00400025" w:rsidP="00400025">
      <w:r>
        <w:rPr>
          <w:noProof/>
        </w:rPr>
        <w:drawing>
          <wp:inline distT="0" distB="0" distL="0" distR="0" wp14:anchorId="2253AC33" wp14:editId="3B19ED20">
            <wp:extent cx="5688280" cy="2380615"/>
            <wp:effectExtent l="0" t="0" r="8255" b="635"/>
            <wp:docPr id="84095682" name="Grafico 1">
              <a:extLst xmlns:a="http://schemas.openxmlformats.org/drawingml/2006/main">
                <a:ext uri="{FF2B5EF4-FFF2-40B4-BE49-F238E27FC236}">
                  <a16:creationId xmlns:a16="http://schemas.microsoft.com/office/drawing/2014/main" id="{1849482C-BC2B-4B31-E1B8-D2D95E4C0F6A}"/>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4F12031E" w14:textId="77777777" w:rsidR="00400025" w:rsidRDefault="00400025" w:rsidP="00400025">
      <w:pPr>
        <w:rPr>
          <w:b/>
          <w:bCs/>
        </w:rPr>
      </w:pPr>
      <w:r w:rsidRPr="00C7169A">
        <w:rPr>
          <w:i/>
          <w:iCs/>
          <w:sz w:val="16"/>
          <w:szCs w:val="16"/>
        </w:rPr>
        <w:t>Fonte</w:t>
      </w:r>
      <w:r w:rsidRPr="00C7169A">
        <w:rPr>
          <w:sz w:val="16"/>
          <w:szCs w:val="16"/>
        </w:rPr>
        <w:t>: elaborazione Centro Studi Tagliacarne su dati Area Studi Mediobanca e Moody’s</w:t>
      </w:r>
    </w:p>
    <w:p w14:paraId="5C7C2953" w14:textId="77777777" w:rsidR="00171D9C" w:rsidRDefault="00171D9C" w:rsidP="00E906C2">
      <w:pPr>
        <w:rPr>
          <w:b/>
          <w:bCs/>
        </w:rPr>
      </w:pPr>
    </w:p>
    <w:p w14:paraId="12B95850" w14:textId="5E89833A" w:rsidR="00E906C2" w:rsidRDefault="00E906C2" w:rsidP="00E906C2">
      <w:pPr>
        <w:rPr>
          <w:b/>
          <w:bCs/>
        </w:rPr>
      </w:pPr>
      <w:r w:rsidRPr="006802A4">
        <w:rPr>
          <w:b/>
          <w:bCs/>
        </w:rPr>
        <w:t>Chi non cresce resta indietro</w:t>
      </w:r>
    </w:p>
    <w:p w14:paraId="6B7DA876" w14:textId="0505B9A0" w:rsidR="00E906C2" w:rsidRDefault="00E906C2" w:rsidP="00E906C2">
      <w:r>
        <w:t xml:space="preserve">In risposta a un contesto economico complesso e in evoluzione, le medie imprese italiane mostrano una chiara volontà di crescita: il 69,6% di esse intende espandersi verso nuovi mercati oltreconfine. Una propensione leggermente inferiore si registra tra le medio-grandi (63,2%), già fortemente internazionalizzate. Anche sul fronte dimensionale, l’orientamento è verso l’ampliamento: 3 </w:t>
      </w:r>
      <w:proofErr w:type="spellStart"/>
      <w:r>
        <w:t>Mid</w:t>
      </w:r>
      <w:proofErr w:type="spellEnd"/>
      <w:r>
        <w:t xml:space="preserve">-Cap su 10 valutano un incremento strutturale, </w:t>
      </w:r>
      <w:r w:rsidR="005E1586">
        <w:t>quota</w:t>
      </w:r>
      <w:r>
        <w:t xml:space="preserve"> che sale a</w:t>
      </w:r>
      <w:r w:rsidR="00540BDD">
        <w:t xml:space="preserve"> </w:t>
      </w:r>
      <w:r w:rsidR="005E1586">
        <w:t>circa 4 su 10</w:t>
      </w:r>
      <w:r>
        <w:t xml:space="preserve"> tra le aziende di taglia superiore.</w:t>
      </w:r>
    </w:p>
    <w:p w14:paraId="4EB4A7EF" w14:textId="1AEA631D" w:rsidR="00E906C2" w:rsidRPr="00DF620D" w:rsidRDefault="00E906C2" w:rsidP="00E906C2">
      <w:r w:rsidRPr="00DF620D">
        <w:t>Gli investimenti rappresentano un altro asse strategico. Il 55% delle medie imprese ha in programma un potenziamento dell</w:t>
      </w:r>
      <w:r w:rsidR="00540BDD">
        <w:t>a</w:t>
      </w:r>
      <w:r w:rsidRPr="00DF620D">
        <w:t xml:space="preserve"> tecnologi</w:t>
      </w:r>
      <w:r w:rsidR="00540BDD">
        <w:t>a</w:t>
      </w:r>
      <w:r w:rsidRPr="00DF620D">
        <w:t>, mentre il 52,8% punta sullo sviluppo di nuovi prodotti e servizi. Cresce anche l’attenzione alla sostenibilità: il 29,1% prevede un’accelerazione degli investimenti green, in linea con il 28,5% delle medio-grandi.</w:t>
      </w:r>
    </w:p>
    <w:p w14:paraId="43333E3E" w14:textId="77777777" w:rsidR="00E040A3" w:rsidRDefault="00E040A3" w:rsidP="00E040A3"/>
    <w:p w14:paraId="36D83056" w14:textId="2B3C8481" w:rsidR="00C45EB8" w:rsidRDefault="00C45EB8" w:rsidP="00E040A3">
      <w:pPr>
        <w:rPr>
          <w:b/>
          <w:bCs/>
        </w:rPr>
      </w:pPr>
      <w:r w:rsidRPr="00C45EB8">
        <w:rPr>
          <w:b/>
          <w:bCs/>
        </w:rPr>
        <w:t xml:space="preserve">Capitale umano in </w:t>
      </w:r>
      <w:r w:rsidR="00A12F71">
        <w:rPr>
          <w:b/>
          <w:bCs/>
        </w:rPr>
        <w:t>aumento</w:t>
      </w:r>
      <w:r w:rsidRPr="00C45EB8">
        <w:rPr>
          <w:b/>
          <w:bCs/>
        </w:rPr>
        <w:t>, ma resta</w:t>
      </w:r>
      <w:r>
        <w:rPr>
          <w:b/>
          <w:bCs/>
        </w:rPr>
        <w:t xml:space="preserve"> il </w:t>
      </w:r>
      <w:proofErr w:type="gramStart"/>
      <w:r>
        <w:rPr>
          <w:b/>
          <w:bCs/>
        </w:rPr>
        <w:t>gap</w:t>
      </w:r>
      <w:proofErr w:type="gramEnd"/>
      <w:r w:rsidRPr="00C45EB8">
        <w:rPr>
          <w:b/>
          <w:bCs/>
        </w:rPr>
        <w:t xml:space="preserve"> su DE&amp;I e competenze</w:t>
      </w:r>
    </w:p>
    <w:p w14:paraId="4EF4E5F3" w14:textId="2CE8FEBE" w:rsidR="00E040A3" w:rsidRDefault="00A12F71" w:rsidP="00E040A3">
      <w:r>
        <w:t>L’</w:t>
      </w:r>
      <w:r w:rsidR="00C45EB8">
        <w:t xml:space="preserve">incremento occupazionale che ha interessato le medie imprese nel decennio 2014-2023 </w:t>
      </w:r>
      <w:r>
        <w:t>le ha portate a</w:t>
      </w:r>
      <w:r w:rsidR="00C45EB8">
        <w:t xml:space="preserve"> </w:t>
      </w:r>
      <w:r>
        <w:t>impiegare quasi</w:t>
      </w:r>
      <w:r w:rsidR="00C45EB8">
        <w:t xml:space="preserve"> 540mila risorse,</w:t>
      </w:r>
      <w:r>
        <w:t xml:space="preserve"> ma</w:t>
      </w:r>
      <w:r w:rsidR="00C45EB8">
        <w:t xml:space="preserve"> si scontra con alcune </w:t>
      </w:r>
      <w:r w:rsidR="00F23B1F">
        <w:t>fragilità</w:t>
      </w:r>
      <w:r w:rsidR="00C45EB8">
        <w:t xml:space="preserve"> strutturali. La presenza femminile si ragguaglia </w:t>
      </w:r>
      <w:r w:rsidR="00A44D92">
        <w:t>a poco meno del 25%</w:t>
      </w:r>
      <w:r w:rsidR="00C45EB8">
        <w:t xml:space="preserve"> del totale degli occupati e quella degli under 30 al 18,3%, indice </w:t>
      </w:r>
      <w:r w:rsidR="00816F0F">
        <w:t>d</w:t>
      </w:r>
      <w:r w:rsidR="00C45EB8">
        <w:t>i una persistente difficoltà</w:t>
      </w:r>
      <w:r w:rsidR="00D86522">
        <w:t xml:space="preserve"> nel raggiungimento di una parità di genere e </w:t>
      </w:r>
      <w:r w:rsidR="00C45EB8">
        <w:t>nel rinnovamento generazionale. A pesare maggiormente è però il mismatch tra domanda e offerta di competenze. L</w:t>
      </w:r>
      <w:r w:rsidR="00E040A3">
        <w:t xml:space="preserve">a carenza sul mercato del lavoro di </w:t>
      </w:r>
      <w:r w:rsidR="00C45EB8">
        <w:t>skill</w:t>
      </w:r>
      <w:r w:rsidR="00E040A3">
        <w:t xml:space="preserve"> adeguate </w:t>
      </w:r>
      <w:r w:rsidR="00C45EB8">
        <w:t xml:space="preserve">(soprattutto tecnico-specifiche) </w:t>
      </w:r>
      <w:r w:rsidR="00E040A3">
        <w:t>colpisce</w:t>
      </w:r>
      <w:r w:rsidR="00E040A3" w:rsidRPr="007C0CDB">
        <w:t xml:space="preserve"> 8 medie imprese su 10</w:t>
      </w:r>
      <w:r w:rsidR="00C45EB8">
        <w:t>. Per far fronte a questa criticità,</w:t>
      </w:r>
      <w:r w:rsidR="00E040A3">
        <w:t xml:space="preserve"> il </w:t>
      </w:r>
      <w:r w:rsidR="00E040A3" w:rsidRPr="007C0CDB">
        <w:t>40,4%</w:t>
      </w:r>
      <w:r w:rsidR="00A44D92">
        <w:t xml:space="preserve"> </w:t>
      </w:r>
      <w:r w:rsidR="00816F0F">
        <w:t>di esse</w:t>
      </w:r>
      <w:r w:rsidR="00E040A3">
        <w:t xml:space="preserve"> è pronto a correre ai ripari </w:t>
      </w:r>
      <w:r w:rsidR="00E040A3" w:rsidRPr="007C0CDB">
        <w:t>invest</w:t>
      </w:r>
      <w:r w:rsidR="00E040A3">
        <w:t xml:space="preserve">endo </w:t>
      </w:r>
      <w:r w:rsidR="00E040A3" w:rsidRPr="007C0CDB">
        <w:t>nella formazione</w:t>
      </w:r>
      <w:r w:rsidR="00E040A3">
        <w:t xml:space="preserve"> e il 37% </w:t>
      </w:r>
      <w:r w:rsidR="00E040A3" w:rsidRPr="007C0CDB">
        <w:t>aument</w:t>
      </w:r>
      <w:r w:rsidR="00E040A3">
        <w:t>ando</w:t>
      </w:r>
      <w:r w:rsidR="00E040A3" w:rsidRPr="007C0CDB">
        <w:t xml:space="preserve"> l’automazione dei processi produttivi</w:t>
      </w:r>
      <w:r w:rsidR="00816F0F">
        <w:t>,</w:t>
      </w:r>
      <w:r w:rsidR="00E040A3">
        <w:t xml:space="preserve"> </w:t>
      </w:r>
      <w:r w:rsidR="00816F0F">
        <w:t>a</w:t>
      </w:r>
      <w:r w:rsidR="00E040A3">
        <w:t xml:space="preserve">nche perché </w:t>
      </w:r>
      <w:r w:rsidR="00E040A3" w:rsidRPr="007C0CDB">
        <w:t xml:space="preserve">le difficoltà di reperimento </w:t>
      </w:r>
      <w:r w:rsidR="00E040A3" w:rsidRPr="007C0CDB">
        <w:lastRenderedPageBreak/>
        <w:t xml:space="preserve">delle </w:t>
      </w:r>
      <w:r w:rsidR="00E040A3">
        <w:t>skill</w:t>
      </w:r>
      <w:r w:rsidR="00E040A3" w:rsidRPr="007C0CDB">
        <w:t xml:space="preserve"> richieste </w:t>
      </w:r>
      <w:r w:rsidR="00540BDD">
        <w:t xml:space="preserve">comporta </w:t>
      </w:r>
      <w:r w:rsidR="00E040A3">
        <w:t>per il 47,5%</w:t>
      </w:r>
      <w:r w:rsidR="00540BDD">
        <w:t xml:space="preserve"> di esse</w:t>
      </w:r>
      <w:r w:rsidR="00E040A3">
        <w:t xml:space="preserve"> un </w:t>
      </w:r>
      <w:r w:rsidR="00E040A3" w:rsidRPr="007C0CDB">
        <w:t>aggravio del carico lavorativo sui dipendenti</w:t>
      </w:r>
      <w:r w:rsidR="00E040A3">
        <w:t xml:space="preserve"> e per il 37,4%</w:t>
      </w:r>
      <w:r w:rsidR="00E040A3" w:rsidRPr="007C0CDB">
        <w:t xml:space="preserve"> </w:t>
      </w:r>
      <w:r w:rsidR="00E040A3">
        <w:t xml:space="preserve">un </w:t>
      </w:r>
      <w:r w:rsidR="00E040A3" w:rsidRPr="007C0CDB">
        <w:t xml:space="preserve">aumento dei costi di gestione. </w:t>
      </w:r>
    </w:p>
    <w:p w14:paraId="6078B515" w14:textId="39CF7F9D" w:rsidR="00F728E5" w:rsidRDefault="00F728E5" w:rsidP="00F728E5"/>
    <w:p w14:paraId="669657E0" w14:textId="60DC50D8" w:rsidR="00FE1291" w:rsidRPr="005A326C" w:rsidRDefault="00040B13" w:rsidP="007C0CDB">
      <w:pPr>
        <w:rPr>
          <w:b/>
          <w:bCs/>
        </w:rPr>
      </w:pPr>
      <w:r>
        <w:rPr>
          <w:b/>
          <w:bCs/>
        </w:rPr>
        <w:t>Effetto s</w:t>
      </w:r>
      <w:r w:rsidR="005A326C" w:rsidRPr="005A326C">
        <w:rPr>
          <w:b/>
          <w:bCs/>
        </w:rPr>
        <w:t>hock energetico</w:t>
      </w:r>
      <w:r w:rsidR="005A326C">
        <w:rPr>
          <w:b/>
          <w:bCs/>
        </w:rPr>
        <w:t>,</w:t>
      </w:r>
      <w:r w:rsidR="005A326C" w:rsidRPr="005A326C">
        <w:rPr>
          <w:b/>
          <w:bCs/>
        </w:rPr>
        <w:t xml:space="preserve"> </w:t>
      </w:r>
      <w:r w:rsidR="00E84EAE">
        <w:rPr>
          <w:b/>
          <w:bCs/>
        </w:rPr>
        <w:t xml:space="preserve">forte calo dei margini per </w:t>
      </w:r>
      <w:r w:rsidR="00E84EAE" w:rsidRPr="005A326C">
        <w:rPr>
          <w:b/>
          <w:bCs/>
        </w:rPr>
        <w:t xml:space="preserve">1 </w:t>
      </w:r>
      <w:r w:rsidR="00E84EAE">
        <w:rPr>
          <w:b/>
          <w:bCs/>
        </w:rPr>
        <w:t xml:space="preserve">media impresa </w:t>
      </w:r>
      <w:r w:rsidR="00E84EAE" w:rsidRPr="005A326C">
        <w:rPr>
          <w:b/>
          <w:bCs/>
        </w:rPr>
        <w:t xml:space="preserve">su 5 </w:t>
      </w:r>
      <w:r w:rsidR="00E84EAE">
        <w:rPr>
          <w:b/>
          <w:bCs/>
        </w:rPr>
        <w:t xml:space="preserve"> </w:t>
      </w:r>
    </w:p>
    <w:p w14:paraId="596154F3" w14:textId="3865F0E2" w:rsidR="00FE1291" w:rsidRDefault="005A326C" w:rsidP="007C0CDB">
      <w:r>
        <w:t>Q</w:t>
      </w:r>
      <w:r w:rsidR="007561F6" w:rsidRPr="007561F6">
        <w:t xml:space="preserve">uasi il 60% delle </w:t>
      </w:r>
      <w:r w:rsidR="00C13600">
        <w:t>m</w:t>
      </w:r>
      <w:r>
        <w:t xml:space="preserve">edie imprese </w:t>
      </w:r>
      <w:r w:rsidR="007561F6" w:rsidRPr="007561F6">
        <w:t>ha dichiarato un aumento dei costi energetici</w:t>
      </w:r>
      <w:r>
        <w:t>,</w:t>
      </w:r>
      <w:r w:rsidR="00D86522">
        <w:t xml:space="preserve"> </w:t>
      </w:r>
      <w:r w:rsidR="008B18ED">
        <w:t xml:space="preserve">per il 20,7% l’incremento è stato molto forte </w:t>
      </w:r>
      <w:r w:rsidR="00040B13">
        <w:t xml:space="preserve">e </w:t>
      </w:r>
      <w:r w:rsidR="008B18ED">
        <w:t xml:space="preserve">per il </w:t>
      </w:r>
      <w:r w:rsidR="008B18ED" w:rsidRPr="007561F6">
        <w:t>20,5%</w:t>
      </w:r>
      <w:r w:rsidR="008B18ED">
        <w:t xml:space="preserve"> </w:t>
      </w:r>
      <w:r w:rsidR="00040B13">
        <w:t xml:space="preserve">l’impatto sui margini </w:t>
      </w:r>
      <w:r w:rsidR="00922F08">
        <w:t xml:space="preserve">è risultato </w:t>
      </w:r>
      <w:r w:rsidR="00040B13">
        <w:t>significativo</w:t>
      </w:r>
      <w:r w:rsidR="008B18ED">
        <w:t>. Pe</w:t>
      </w:r>
      <w:r w:rsidR="005E66E1">
        <w:t>r questo, il</w:t>
      </w:r>
      <w:r w:rsidR="00040B13">
        <w:t xml:space="preserve"> </w:t>
      </w:r>
      <w:r w:rsidR="005E66E1" w:rsidRPr="007561F6">
        <w:t>44,1% delle medie imprese</w:t>
      </w:r>
      <w:r w:rsidR="005E66E1">
        <w:t xml:space="preserve"> ha programmato investimenti </w:t>
      </w:r>
      <w:r w:rsidR="005E66E1" w:rsidRPr="007561F6">
        <w:t>in impianti di energia rinnovabile</w:t>
      </w:r>
      <w:r w:rsidR="005E66E1">
        <w:t xml:space="preserve"> quale principale strategia per contrastare l’impennata della bolletta elettrica. </w:t>
      </w:r>
    </w:p>
    <w:p w14:paraId="63431AF1" w14:textId="77777777" w:rsidR="007561F6" w:rsidRDefault="007561F6" w:rsidP="007C0CDB"/>
    <w:p w14:paraId="060A43FD" w14:textId="01818323" w:rsidR="00FE1291" w:rsidRPr="00742F7F" w:rsidRDefault="000567F3" w:rsidP="007C0CDB">
      <w:pPr>
        <w:rPr>
          <w:b/>
          <w:bCs/>
        </w:rPr>
      </w:pPr>
      <w:r w:rsidRPr="00742F7F">
        <w:rPr>
          <w:b/>
          <w:bCs/>
        </w:rPr>
        <w:t xml:space="preserve">Dazi, un terzo delle </w:t>
      </w:r>
      <w:r w:rsidR="00922F08">
        <w:rPr>
          <w:b/>
          <w:bCs/>
        </w:rPr>
        <w:t xml:space="preserve">medie </w:t>
      </w:r>
      <w:r w:rsidRPr="00742F7F">
        <w:rPr>
          <w:b/>
          <w:bCs/>
        </w:rPr>
        <w:t>imprese punta su</w:t>
      </w:r>
      <w:r w:rsidR="002C6DB5">
        <w:rPr>
          <w:b/>
          <w:bCs/>
        </w:rPr>
        <w:t>ll’</w:t>
      </w:r>
      <w:r w:rsidRPr="00742F7F">
        <w:rPr>
          <w:b/>
          <w:bCs/>
        </w:rPr>
        <w:t>aument</w:t>
      </w:r>
      <w:r w:rsidR="00742F7F">
        <w:rPr>
          <w:b/>
          <w:bCs/>
        </w:rPr>
        <w:t>o</w:t>
      </w:r>
      <w:r w:rsidRPr="00742F7F">
        <w:rPr>
          <w:b/>
          <w:bCs/>
        </w:rPr>
        <w:t xml:space="preserve"> </w:t>
      </w:r>
      <w:r w:rsidR="002C6DB5">
        <w:rPr>
          <w:b/>
          <w:bCs/>
        </w:rPr>
        <w:t xml:space="preserve">dei </w:t>
      </w:r>
      <w:r w:rsidRPr="00742F7F">
        <w:rPr>
          <w:b/>
          <w:bCs/>
        </w:rPr>
        <w:t xml:space="preserve">prezzi </w:t>
      </w:r>
      <w:r w:rsidR="00C11F22" w:rsidRPr="00742F7F">
        <w:rPr>
          <w:b/>
          <w:bCs/>
        </w:rPr>
        <w:t>di vendita</w:t>
      </w:r>
    </w:p>
    <w:p w14:paraId="306B4840" w14:textId="60908D76" w:rsidR="00D948AE" w:rsidRDefault="00661177" w:rsidP="007C0CDB">
      <w:r>
        <w:t>L’aumento delle tariffe</w:t>
      </w:r>
      <w:r w:rsidR="00F23B1F">
        <w:t xml:space="preserve"> doganali</w:t>
      </w:r>
      <w:r>
        <w:t xml:space="preserve"> </w:t>
      </w:r>
      <w:r w:rsidR="00922F08">
        <w:t xml:space="preserve">introdotte o minacciate dagli USA impatta su </w:t>
      </w:r>
      <w:r>
        <w:t>oltre la metà delle medie imprese</w:t>
      </w:r>
      <w:r w:rsidR="00922F08">
        <w:t xml:space="preserve">: per </w:t>
      </w:r>
      <w:r w:rsidR="00D86522">
        <w:t>il 30% circa</w:t>
      </w:r>
      <w:r w:rsidR="00922F08">
        <w:t xml:space="preserve"> in maniera significativa, per un ulteriore 21</w:t>
      </w:r>
      <w:r w:rsidR="00D86522">
        <w:t>,3</w:t>
      </w:r>
      <w:r w:rsidR="00922F08">
        <w:t>% contenuta</w:t>
      </w:r>
      <w:r>
        <w:t>. Più in particolare, p</w:t>
      </w:r>
      <w:r w:rsidR="00B158DA">
        <w:t>er i</w:t>
      </w:r>
      <w:r w:rsidR="00B158DA" w:rsidRPr="00B158DA">
        <w:t>l 53,4%</w:t>
      </w:r>
      <w:r>
        <w:t xml:space="preserve"> di quest</w:t>
      </w:r>
      <w:r w:rsidR="002C6DB5">
        <w:t>e</w:t>
      </w:r>
      <w:r>
        <w:t xml:space="preserve"> realtà imprenditorial</w:t>
      </w:r>
      <w:r w:rsidR="00922F08">
        <w:t>i</w:t>
      </w:r>
      <w:r w:rsidR="00B158DA">
        <w:t xml:space="preserve"> l’introduzione di possibili dazi avrà </w:t>
      </w:r>
      <w:r w:rsidR="00922F08">
        <w:t>una ricaduta</w:t>
      </w:r>
      <w:r w:rsidR="00B158DA" w:rsidRPr="00B158DA">
        <w:t xml:space="preserve"> dirett</w:t>
      </w:r>
      <w:r w:rsidR="00922F08">
        <w:t>a</w:t>
      </w:r>
      <w:r w:rsidR="00B158DA">
        <w:t xml:space="preserve"> rilevante </w:t>
      </w:r>
      <w:r w:rsidR="00B158DA" w:rsidRPr="00B158DA">
        <w:t>sull’export</w:t>
      </w:r>
      <w:r>
        <w:t>, u</w:t>
      </w:r>
      <w:r w:rsidR="00B158DA">
        <w:t xml:space="preserve">na quota che sale </w:t>
      </w:r>
      <w:r w:rsidR="00B158DA" w:rsidRPr="00B158DA">
        <w:t>a oltre il 60% per quelle che esportano negli USA</w:t>
      </w:r>
      <w:r>
        <w:t>.</w:t>
      </w:r>
      <w:r w:rsidR="00466721">
        <w:t xml:space="preserve"> </w:t>
      </w:r>
      <w:r w:rsidR="00B158DA">
        <w:t>Nel complesso</w:t>
      </w:r>
      <w:r>
        <w:t>,</w:t>
      </w:r>
      <w:r w:rsidR="00B158DA">
        <w:t xml:space="preserve"> q</w:t>
      </w:r>
      <w:r w:rsidR="00742F7F">
        <w:t xml:space="preserve">uasi </w:t>
      </w:r>
      <w:r w:rsidR="00922F08">
        <w:t xml:space="preserve">2 </w:t>
      </w:r>
      <w:r w:rsidR="007561F6" w:rsidRPr="007561F6">
        <w:t xml:space="preserve">medie imprese su </w:t>
      </w:r>
      <w:r w:rsidR="00922F08">
        <w:t>3</w:t>
      </w:r>
      <w:r w:rsidR="00922F08" w:rsidRPr="007561F6">
        <w:t xml:space="preserve"> </w:t>
      </w:r>
      <w:r>
        <w:t>vendono ne</w:t>
      </w:r>
      <w:r w:rsidR="00466721">
        <w:t xml:space="preserve">gli States, un mercato che </w:t>
      </w:r>
      <w:r w:rsidR="00742F7F">
        <w:t xml:space="preserve">vale </w:t>
      </w:r>
      <w:r w:rsidR="007561F6" w:rsidRPr="007561F6">
        <w:t xml:space="preserve">il 10% </w:t>
      </w:r>
      <w:r w:rsidR="00742F7F">
        <w:t xml:space="preserve">del loro export. </w:t>
      </w:r>
      <w:r w:rsidR="00D948AE">
        <w:t xml:space="preserve">Tra le principali strategie </w:t>
      </w:r>
      <w:proofErr w:type="gramStart"/>
      <w:r w:rsidR="00D948AE">
        <w:t>messe in campo</w:t>
      </w:r>
      <w:proofErr w:type="gramEnd"/>
      <w:r w:rsidR="00D948AE">
        <w:t xml:space="preserve"> p</w:t>
      </w:r>
      <w:r w:rsidR="00742F7F" w:rsidRPr="00B63356">
        <w:t xml:space="preserve">er sopportare </w:t>
      </w:r>
      <w:r w:rsidR="00B158DA">
        <w:t xml:space="preserve">il rincaro </w:t>
      </w:r>
      <w:r w:rsidR="00742F7F" w:rsidRPr="00B63356">
        <w:t>de</w:t>
      </w:r>
      <w:r w:rsidR="00742F7F">
        <w:t>l</w:t>
      </w:r>
      <w:r w:rsidR="00742F7F" w:rsidRPr="00B63356">
        <w:t>l</w:t>
      </w:r>
      <w:r w:rsidR="00742F7F">
        <w:t>e tariffe</w:t>
      </w:r>
      <w:r w:rsidR="00816F0F">
        <w:t>,</w:t>
      </w:r>
      <w:r w:rsidR="00742F7F" w:rsidRPr="00B63356">
        <w:t xml:space="preserve"> </w:t>
      </w:r>
      <w:r w:rsidR="00742F7F">
        <w:t xml:space="preserve">il </w:t>
      </w:r>
      <w:r w:rsidR="00742F7F" w:rsidRPr="00B63356">
        <w:t>33,2%</w:t>
      </w:r>
      <w:r w:rsidR="00742F7F">
        <w:t xml:space="preserve"> delle medie imprese ha programmato un aumento dei</w:t>
      </w:r>
      <w:r w:rsidR="00B63356" w:rsidRPr="00B63356">
        <w:t xml:space="preserve"> prezzi di vendita dei beni venduti negli USA</w:t>
      </w:r>
      <w:r w:rsidR="00D948AE">
        <w:t>,</w:t>
      </w:r>
      <w:r w:rsidR="00742F7F">
        <w:t xml:space="preserve"> il </w:t>
      </w:r>
      <w:r w:rsidR="00742F7F" w:rsidRPr="00B63356">
        <w:t xml:space="preserve">25,3% </w:t>
      </w:r>
      <w:r w:rsidR="00742F7F">
        <w:t xml:space="preserve">punta maggiormente al </w:t>
      </w:r>
      <w:r w:rsidR="00B63356" w:rsidRPr="00B63356">
        <w:t>mercato UE</w:t>
      </w:r>
      <w:r w:rsidR="00D948AE">
        <w:t xml:space="preserve"> e il 18,1% al</w:t>
      </w:r>
      <w:r w:rsidR="00D948AE" w:rsidRPr="00B63356">
        <w:t>la ricerca di mercati alternativi</w:t>
      </w:r>
      <w:r w:rsidR="00D948AE">
        <w:t>.</w:t>
      </w:r>
    </w:p>
    <w:p w14:paraId="1FD00B88" w14:textId="77777777" w:rsidR="00286BC8" w:rsidRDefault="00286BC8" w:rsidP="00CA3D0D"/>
    <w:p w14:paraId="2AA04ACB" w14:textId="2803B4B7" w:rsidR="00286BC8" w:rsidRPr="00C7169A" w:rsidRDefault="00090BB6" w:rsidP="00CA3D0D">
      <w:pPr>
        <w:rPr>
          <w:b/>
          <w:bCs/>
        </w:rPr>
      </w:pPr>
      <w:r w:rsidRPr="00C7169A">
        <w:rPr>
          <w:b/>
          <w:bCs/>
        </w:rPr>
        <w:t>ESG e transazione sostenibile: un percorso in evoluzione</w:t>
      </w:r>
    </w:p>
    <w:p w14:paraId="6946963A" w14:textId="01522279" w:rsidR="00286BC8" w:rsidRDefault="00090BB6" w:rsidP="00CA3D0D">
      <w:r>
        <w:t xml:space="preserve">L’80,4% delle medie imprese ha avviato iniziative ESG soprattutto ambientali, spinte da obblighi normativi, reputazione e visione imprenditoriale. </w:t>
      </w:r>
    </w:p>
    <w:p w14:paraId="2048BDB3" w14:textId="5A2AFAAB" w:rsidR="00286BC8" w:rsidRDefault="00090BB6" w:rsidP="00CA3D0D">
      <w:r>
        <w:t xml:space="preserve">Sul fronte operativo, il 67,3% delle imprese è impegnato nella riduzione dell’uso di fonti fossili e nella transizione verso le rinnovabili, mentre il 62% adotta pratiche virtuose nella gestione dei rifiuti e nel riciclo e il 43% organizza formazione green per i propri dipendenti. </w:t>
      </w:r>
    </w:p>
    <w:bookmarkEnd w:id="0"/>
    <w:p w14:paraId="59FA5E01" w14:textId="77777777" w:rsidR="00090BB6" w:rsidRDefault="00090BB6" w:rsidP="00EA1FA5">
      <w:pPr>
        <w:rPr>
          <w:rFonts w:ascii="Century Gothic" w:hAnsi="Century Gothic"/>
          <w:b/>
          <w:bCs/>
          <w:color w:val="002060"/>
          <w:sz w:val="20"/>
        </w:rPr>
      </w:pPr>
    </w:p>
    <w:p w14:paraId="0CB9750A" w14:textId="77777777" w:rsidR="004479A4" w:rsidRDefault="004479A4" w:rsidP="00EA1FA5">
      <w:pPr>
        <w:rPr>
          <w:rFonts w:ascii="Century Gothic" w:hAnsi="Century Gothic"/>
          <w:b/>
          <w:bCs/>
          <w:color w:val="002060"/>
          <w:sz w:val="20"/>
        </w:rPr>
      </w:pPr>
    </w:p>
    <w:p w14:paraId="4910DED9" w14:textId="77777777" w:rsidR="004F0C0F" w:rsidRPr="00C7169A" w:rsidRDefault="004F0C0F" w:rsidP="004F0C0F">
      <w:pPr>
        <w:rPr>
          <w:b/>
          <w:bCs/>
          <w:szCs w:val="24"/>
        </w:rPr>
      </w:pPr>
      <w:r w:rsidRPr="00C7169A">
        <w:rPr>
          <w:b/>
          <w:bCs/>
          <w:szCs w:val="24"/>
        </w:rPr>
        <w:t>Principali iniziative di sostenibilità ambientale (in % delle rispondenti)</w:t>
      </w:r>
    </w:p>
    <w:p w14:paraId="3AE245A8" w14:textId="77777777" w:rsidR="004479A4" w:rsidRPr="00C7169A" w:rsidRDefault="004479A4" w:rsidP="004F0C0F">
      <w:pPr>
        <w:rPr>
          <w:rFonts w:ascii="Century Gothic" w:hAnsi="Century Gothic"/>
          <w:b/>
          <w:bCs/>
          <w:color w:val="002060"/>
          <w:szCs w:val="24"/>
        </w:rPr>
      </w:pPr>
    </w:p>
    <w:p w14:paraId="3B609CF1" w14:textId="776A84C5" w:rsidR="004657BE" w:rsidRDefault="004F0C0F" w:rsidP="00CA3D0D">
      <w:pPr>
        <w:rPr>
          <w:b/>
          <w:bCs/>
        </w:rPr>
      </w:pPr>
      <w:r w:rsidRPr="00AD5BC6">
        <w:rPr>
          <w:rFonts w:ascii="Century Gothic" w:hAnsi="Century Gothic"/>
          <w:b/>
          <w:bCs/>
          <w:noProof/>
          <w:color w:val="002060"/>
          <w:sz w:val="20"/>
        </w:rPr>
        <w:drawing>
          <wp:inline distT="0" distB="0" distL="0" distR="0" wp14:anchorId="4C7460BE" wp14:editId="26746390">
            <wp:extent cx="5337810" cy="3123210"/>
            <wp:effectExtent l="0" t="0" r="0" b="1270"/>
            <wp:docPr id="524867571" name="Grafico 1">
              <a:extLst xmlns:a="http://schemas.openxmlformats.org/drawingml/2006/main">
                <a:ext uri="{FF2B5EF4-FFF2-40B4-BE49-F238E27FC236}">
                  <a16:creationId xmlns:a16="http://schemas.microsoft.com/office/drawing/2014/main" id="{9B55083D-2269-46F4-B3DE-3447E6D1033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621C36EF" w14:textId="77777777" w:rsidR="00D86522" w:rsidRDefault="00D86522" w:rsidP="004F0C0F">
      <w:pPr>
        <w:rPr>
          <w:i/>
          <w:iCs/>
          <w:sz w:val="16"/>
          <w:szCs w:val="16"/>
        </w:rPr>
      </w:pPr>
    </w:p>
    <w:p w14:paraId="7A0A28F6" w14:textId="753735EA" w:rsidR="004F0C0F" w:rsidRPr="00C7169A" w:rsidRDefault="004F0C0F" w:rsidP="004F0C0F">
      <w:pPr>
        <w:rPr>
          <w:sz w:val="16"/>
          <w:szCs w:val="16"/>
        </w:rPr>
      </w:pPr>
      <w:r w:rsidRPr="00C7169A">
        <w:rPr>
          <w:i/>
          <w:iCs/>
          <w:sz w:val="16"/>
          <w:szCs w:val="16"/>
        </w:rPr>
        <w:t>Fonte</w:t>
      </w:r>
      <w:r w:rsidRPr="00C7169A">
        <w:rPr>
          <w:sz w:val="16"/>
          <w:szCs w:val="16"/>
        </w:rPr>
        <w:t>: Indagine Area Studi Mediobanca, 2025 (domanda a risposta multipla)</w:t>
      </w:r>
    </w:p>
    <w:p w14:paraId="3F2A65D2" w14:textId="5138C78A" w:rsidR="00090BB6" w:rsidRDefault="00090BB6" w:rsidP="00CA3D0D">
      <w:r w:rsidRPr="00C7169A">
        <w:lastRenderedPageBreak/>
        <w:t>La misurazione</w:t>
      </w:r>
      <w:r>
        <w:t xml:space="preserve"> delle emissioni di gas resta tuttavia una sfida aperta: il 62,3% delle medie imprese non è attualmente in grado di quantificare le proprie emissioni</w:t>
      </w:r>
      <w:r w:rsidR="00FA3956">
        <w:t xml:space="preserve">, un limite che ostacola la definizione di strategie efficaci per la transizione ecologica. A ciò si aggiunge che solo il 40,9% delle medie imprese ritiene realistico l’obiettivo </w:t>
      </w:r>
      <w:r w:rsidR="00D86522">
        <w:t>“</w:t>
      </w:r>
      <w:r w:rsidR="00FA3956">
        <w:t>Emissioni Zero</w:t>
      </w:r>
      <w:r w:rsidR="00D86522">
        <w:t>”</w:t>
      </w:r>
      <w:r w:rsidR="00FA3956">
        <w:t xml:space="preserve"> entro il 2050. </w:t>
      </w:r>
    </w:p>
    <w:p w14:paraId="53FC8F95" w14:textId="77777777" w:rsidR="004479A4" w:rsidRDefault="004479A4" w:rsidP="00CA3D0D"/>
    <w:p w14:paraId="1F3E564D" w14:textId="13322AC0" w:rsidR="004479A4" w:rsidRPr="0042086D" w:rsidRDefault="004479A4" w:rsidP="004479A4">
      <w:pPr>
        <w:rPr>
          <w:b/>
          <w:bCs/>
        </w:rPr>
      </w:pPr>
      <w:r>
        <w:rPr>
          <w:b/>
          <w:bCs/>
        </w:rPr>
        <w:t xml:space="preserve">Politica </w:t>
      </w:r>
      <w:r w:rsidRPr="0042086D">
        <w:rPr>
          <w:b/>
          <w:bCs/>
        </w:rPr>
        <w:t>energetica</w:t>
      </w:r>
      <w:r>
        <w:rPr>
          <w:b/>
          <w:bCs/>
        </w:rPr>
        <w:t xml:space="preserve"> U</w:t>
      </w:r>
      <w:r w:rsidR="00C03542">
        <w:rPr>
          <w:b/>
          <w:bCs/>
        </w:rPr>
        <w:t>E</w:t>
      </w:r>
      <w:r>
        <w:rPr>
          <w:b/>
          <w:bCs/>
        </w:rPr>
        <w:t>: quasi la metà delle imprese l’approva</w:t>
      </w:r>
      <w:r w:rsidR="00C03542">
        <w:rPr>
          <w:b/>
          <w:bCs/>
        </w:rPr>
        <w:t>,</w:t>
      </w:r>
      <w:r>
        <w:rPr>
          <w:b/>
          <w:bCs/>
        </w:rPr>
        <w:t xml:space="preserve"> ma pesa la burocrazia</w:t>
      </w:r>
    </w:p>
    <w:p w14:paraId="5188D25D" w14:textId="77777777" w:rsidR="00C03542" w:rsidRDefault="00C03542" w:rsidP="004479A4">
      <w:r w:rsidRPr="00FB4F9E">
        <w:t>Il quadro attuale conferma, ancora una volta, quanto sia urgente dotare le imprese di strumenti tecnici adeguati, incentivi mirati e competenze diffuse per accompagnarle efficacemente nel percorso di cambiamento e innovazione.</w:t>
      </w:r>
    </w:p>
    <w:p w14:paraId="35819693" w14:textId="514710BA" w:rsidR="004479A4" w:rsidRDefault="00C03542" w:rsidP="004479A4">
      <w:r>
        <w:t xml:space="preserve">In questo ambito, l’Unione Europea </w:t>
      </w:r>
      <w:r w:rsidR="00A52926">
        <w:t>potrebbe</w:t>
      </w:r>
      <w:r>
        <w:t xml:space="preserve"> ricoprire un ruolo strategico</w:t>
      </w:r>
      <w:r w:rsidR="00A52926">
        <w:t>. Infatti,</w:t>
      </w:r>
      <w:r>
        <w:t xml:space="preserve"> la </w:t>
      </w:r>
      <w:r w:rsidR="004479A4" w:rsidRPr="00404B52">
        <w:t xml:space="preserve">politica energetica </w:t>
      </w:r>
      <w:r>
        <w:t>comunitaria</w:t>
      </w:r>
      <w:r w:rsidR="004479A4" w:rsidRPr="00404B52">
        <w:t xml:space="preserve"> rappresenta per il 48,6% delle medie imprese un’opportunità per migliorare l’efficienza energetica</w:t>
      </w:r>
      <w:r w:rsidR="00A52926">
        <w:t>.</w:t>
      </w:r>
      <w:r w:rsidR="004479A4" w:rsidRPr="00404B52">
        <w:t xml:space="preserve"> </w:t>
      </w:r>
      <w:r w:rsidR="00A52926">
        <w:t>Tuttavia</w:t>
      </w:r>
      <w:r w:rsidR="00D86522">
        <w:t>,</w:t>
      </w:r>
      <w:r w:rsidR="00A52926">
        <w:t xml:space="preserve"> rimangono alcuni nodi da risolvere:</w:t>
      </w:r>
      <w:r w:rsidR="004479A4" w:rsidRPr="00404B52">
        <w:t xml:space="preserve"> per più di un terzo </w:t>
      </w:r>
      <w:r w:rsidR="00A52926">
        <w:t xml:space="preserve">di esse l’adesione ai programmi UE sul green </w:t>
      </w:r>
      <w:r w:rsidR="004479A4" w:rsidRPr="00404B52">
        <w:t xml:space="preserve">comporta un appesantimento burocratico e un aggravio dei costi. </w:t>
      </w:r>
      <w:r w:rsidR="004479A4">
        <w:t xml:space="preserve">Anche per questo il 33% </w:t>
      </w:r>
      <w:r w:rsidR="004479A4" w:rsidRPr="004C0260">
        <w:t xml:space="preserve">delle medie imprese dichiara di </w:t>
      </w:r>
      <w:r w:rsidR="004479A4">
        <w:t xml:space="preserve">poter subire un </w:t>
      </w:r>
      <w:r w:rsidR="004479A4" w:rsidRPr="004C0260">
        <w:t xml:space="preserve">impatto molto o abbastanza </w:t>
      </w:r>
      <w:r w:rsidR="004479A4">
        <w:t>elevato da</w:t>
      </w:r>
      <w:r w:rsidR="004479A4" w:rsidRPr="004C0260">
        <w:t xml:space="preserve">l rischio di transizione legato alla perdita di competitività </w:t>
      </w:r>
      <w:r w:rsidR="004479A4">
        <w:t>connesso a</w:t>
      </w:r>
      <w:r w:rsidR="004479A4" w:rsidRPr="004C0260">
        <w:t>l processo di aggiustamento dell’economia (e delle regole)</w:t>
      </w:r>
      <w:r w:rsidR="004479A4">
        <w:t>,</w:t>
      </w:r>
      <w:r w:rsidR="004479A4" w:rsidRPr="004C0260">
        <w:t xml:space="preserve"> sempre più basato su criteri di sostenibilità ambientale</w:t>
      </w:r>
      <w:r w:rsidR="004479A4">
        <w:t>.</w:t>
      </w:r>
    </w:p>
    <w:p w14:paraId="58DEC050" w14:textId="77777777" w:rsidR="004479A4" w:rsidRPr="00C7169A" w:rsidRDefault="004479A4" w:rsidP="00CA3D0D"/>
    <w:sectPr w:rsidR="004479A4" w:rsidRPr="00C7169A" w:rsidSect="000D7F3F">
      <w:headerReference w:type="even" r:id="rId13"/>
      <w:headerReference w:type="default" r:id="rId14"/>
      <w:footerReference w:type="even" r:id="rId15"/>
      <w:footerReference w:type="default" r:id="rId16"/>
      <w:headerReference w:type="first" r:id="rId17"/>
      <w:footerReference w:type="first" r:id="rId18"/>
      <w:pgSz w:w="11906" w:h="16838"/>
      <w:pgMar w:top="190" w:right="1559" w:bottom="1418" w:left="1559" w:header="397" w:footer="381"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2A3B24" w14:textId="77777777" w:rsidR="006F0768" w:rsidRDefault="006F0768">
      <w:r>
        <w:separator/>
      </w:r>
    </w:p>
  </w:endnote>
  <w:endnote w:type="continuationSeparator" w:id="0">
    <w:p w14:paraId="01A97241" w14:textId="77777777" w:rsidR="006F0768" w:rsidRDefault="006F0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MyriadPro-It">
    <w:altName w:val="Calibr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empus Sans ITC">
    <w:panose1 w:val="04020404030D07020202"/>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HelveticaNeueLT Pro 45 L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Calibri-Italic">
    <w:altName w:val="Calibri"/>
    <w:panose1 w:val="00000000000000000000"/>
    <w:charset w:val="00"/>
    <w:family w:val="roman"/>
    <w:notTrueType/>
    <w:pitch w:val="default"/>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9E763" w14:textId="77777777" w:rsidR="00C056DA" w:rsidRDefault="00C056D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609156"/>
      <w:docPartObj>
        <w:docPartGallery w:val="Page Numbers (Bottom of Page)"/>
        <w:docPartUnique/>
      </w:docPartObj>
    </w:sdtPr>
    <w:sdtEndPr>
      <w:rPr>
        <w:noProof/>
        <w:sz w:val="16"/>
        <w:szCs w:val="12"/>
      </w:rPr>
    </w:sdtEndPr>
    <w:sdtContent>
      <w:p w14:paraId="19C76E53" w14:textId="4F3D8F4D" w:rsidR="00C056DA" w:rsidRPr="00C056DA" w:rsidRDefault="00C056DA">
        <w:pPr>
          <w:pStyle w:val="Footer"/>
          <w:jc w:val="center"/>
          <w:rPr>
            <w:sz w:val="16"/>
            <w:szCs w:val="12"/>
          </w:rPr>
        </w:pPr>
        <w:r w:rsidRPr="00C056DA">
          <w:rPr>
            <w:sz w:val="16"/>
            <w:szCs w:val="12"/>
          </w:rPr>
          <w:fldChar w:fldCharType="begin"/>
        </w:r>
        <w:r w:rsidRPr="00C056DA">
          <w:rPr>
            <w:sz w:val="16"/>
            <w:szCs w:val="12"/>
          </w:rPr>
          <w:instrText xml:space="preserve"> PAGE   \* MERGEFORMAT </w:instrText>
        </w:r>
        <w:r w:rsidRPr="00C056DA">
          <w:rPr>
            <w:sz w:val="16"/>
            <w:szCs w:val="12"/>
          </w:rPr>
          <w:fldChar w:fldCharType="separate"/>
        </w:r>
        <w:r w:rsidRPr="00C056DA">
          <w:rPr>
            <w:noProof/>
            <w:sz w:val="16"/>
            <w:szCs w:val="12"/>
          </w:rPr>
          <w:t>2</w:t>
        </w:r>
        <w:r w:rsidRPr="00C056DA">
          <w:rPr>
            <w:noProof/>
            <w:sz w:val="16"/>
            <w:szCs w:val="12"/>
          </w:rPr>
          <w:fldChar w:fldCharType="end"/>
        </w:r>
      </w:p>
    </w:sdtContent>
  </w:sdt>
  <w:p w14:paraId="295A0D30" w14:textId="77777777" w:rsidR="008743A7" w:rsidRPr="00EC5B5E" w:rsidRDefault="008743A7" w:rsidP="00513F62">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CellMar>
        <w:left w:w="113" w:type="dxa"/>
        <w:right w:w="113" w:type="dxa"/>
      </w:tblCellMar>
      <w:tblLook w:val="0000" w:firstRow="0" w:lastRow="0" w:firstColumn="0" w:lastColumn="0" w:noHBand="0" w:noVBand="0"/>
    </w:tblPr>
    <w:tblGrid>
      <w:gridCol w:w="2410"/>
      <w:gridCol w:w="3260"/>
      <w:gridCol w:w="3118"/>
    </w:tblGrid>
    <w:tr w:rsidR="00DA4DA2" w:rsidRPr="0011751D" w14:paraId="7576FB59" w14:textId="77777777" w:rsidTr="00886E60">
      <w:trPr>
        <w:trHeight w:val="868"/>
      </w:trPr>
      <w:tc>
        <w:tcPr>
          <w:tcW w:w="1371" w:type="pct"/>
          <w:tcBorders>
            <w:right w:val="single" w:sz="4" w:space="0" w:color="808080"/>
          </w:tcBorders>
        </w:tcPr>
        <w:p w14:paraId="5C46C560" w14:textId="77777777" w:rsidR="00DA4DA2" w:rsidRPr="00C056DA" w:rsidRDefault="00DA4DA2" w:rsidP="00DA4DA2">
          <w:pPr>
            <w:pStyle w:val="Footer"/>
            <w:jc w:val="center"/>
            <w:rPr>
              <w:b/>
              <w:color w:val="808080"/>
              <w:szCs w:val="18"/>
            </w:rPr>
          </w:pPr>
          <w:r w:rsidRPr="00C056DA">
            <w:rPr>
              <w:b/>
              <w:color w:val="808080"/>
              <w:sz w:val="15"/>
              <w:szCs w:val="18"/>
            </w:rPr>
            <w:t>Media Relations Mediobanca</w:t>
          </w:r>
        </w:p>
        <w:p w14:paraId="220EEDEF" w14:textId="77777777" w:rsidR="00DA4DA2" w:rsidRPr="00C056DA" w:rsidRDefault="00DA4DA2" w:rsidP="00DA4DA2">
          <w:pPr>
            <w:pStyle w:val="Footer"/>
            <w:jc w:val="center"/>
            <w:rPr>
              <w:color w:val="808080"/>
              <w:sz w:val="15"/>
              <w:szCs w:val="18"/>
            </w:rPr>
          </w:pPr>
          <w:r w:rsidRPr="00C056DA">
            <w:rPr>
              <w:color w:val="808080"/>
              <w:sz w:val="15"/>
              <w:szCs w:val="18"/>
            </w:rPr>
            <w:t>Tel. +39-02-8829 914/766</w:t>
          </w:r>
        </w:p>
        <w:p w14:paraId="31CABF8B" w14:textId="77777777" w:rsidR="00DA4DA2" w:rsidRPr="00C056DA" w:rsidRDefault="00DA4DA2" w:rsidP="00DA4DA2">
          <w:pPr>
            <w:pStyle w:val="Footer"/>
            <w:jc w:val="center"/>
            <w:rPr>
              <w:noProof/>
            </w:rPr>
          </w:pPr>
          <w:hyperlink r:id="rId1" w:history="1">
            <w:r w:rsidRPr="00C056DA">
              <w:rPr>
                <w:rStyle w:val="Hyperlink"/>
                <w:sz w:val="15"/>
                <w:szCs w:val="18"/>
              </w:rPr>
              <w:t>media.relations@mediobanca.com</w:t>
            </w:r>
          </w:hyperlink>
        </w:p>
      </w:tc>
      <w:tc>
        <w:tcPr>
          <w:tcW w:w="1855" w:type="pct"/>
          <w:tcBorders>
            <w:right w:val="single" w:sz="4" w:space="0" w:color="808080"/>
          </w:tcBorders>
        </w:tcPr>
        <w:p w14:paraId="4A23098B" w14:textId="77777777" w:rsidR="00DA4DA2" w:rsidRPr="00C056DA" w:rsidRDefault="00DA4DA2" w:rsidP="00DA4DA2">
          <w:pPr>
            <w:pStyle w:val="Footer"/>
            <w:jc w:val="center"/>
            <w:rPr>
              <w:color w:val="808080"/>
              <w:sz w:val="14"/>
              <w:szCs w:val="14"/>
            </w:rPr>
          </w:pPr>
          <w:r w:rsidRPr="00C056DA">
            <w:rPr>
              <w:noProof/>
            </w:rPr>
            <mc:AlternateContent>
              <mc:Choice Requires="wpg">
                <w:drawing>
                  <wp:anchor distT="0" distB="0" distL="114300" distR="114300" simplePos="0" relativeHeight="251687936" behindDoc="0" locked="0" layoutInCell="0" allowOverlap="1" wp14:anchorId="709589BA" wp14:editId="33D1A346">
                    <wp:simplePos x="0" y="0"/>
                    <wp:positionH relativeFrom="page">
                      <wp:posOffset>7070725</wp:posOffset>
                    </wp:positionH>
                    <wp:positionV relativeFrom="page">
                      <wp:posOffset>9815830</wp:posOffset>
                    </wp:positionV>
                    <wp:extent cx="488315" cy="23749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88315" cy="237490"/>
                              <a:chOff x="689" y="3255"/>
                              <a:chExt cx="769" cy="374"/>
                            </a:xfrm>
                          </wpg:grpSpPr>
                          <wps:wsp>
                            <wps:cNvPr id="28" name="Text Box 71"/>
                            <wps:cNvSpPr txBox="1">
                              <a:spLocks noChangeArrowheads="1"/>
                            </wps:cNvSpPr>
                            <wps:spPr bwMode="auto">
                              <a:xfrm>
                                <a:off x="689" y="3263"/>
                                <a:ext cx="769" cy="360"/>
                              </a:xfrm>
                              <a:prstGeom prst="rect">
                                <a:avLst/>
                              </a:prstGeom>
                              <a:noFill/>
                              <a:ln>
                                <a:noFill/>
                              </a:ln>
                            </wps:spPr>
                            <wps:txbx>
                              <w:txbxContent>
                                <w:p w14:paraId="647AF646" w14:textId="0DCCC84F" w:rsidR="00DA4DA2" w:rsidRDefault="00DA4DA2" w:rsidP="00DA4DA2">
                                  <w:pPr>
                                    <w:pStyle w:val="Header"/>
                                    <w:jc w:val="center"/>
                                  </w:pPr>
                                  <w:r w:rsidRPr="00674134">
                                    <w:rPr>
                                      <w:sz w:val="22"/>
                                      <w:szCs w:val="22"/>
                                    </w:rPr>
                                    <w:fldChar w:fldCharType="begin"/>
                                  </w:r>
                                  <w:r>
                                    <w:instrText>PAGE    \* MERGEFORMAT</w:instrText>
                                  </w:r>
                                  <w:r w:rsidRPr="00674134">
                                    <w:rPr>
                                      <w:sz w:val="22"/>
                                      <w:szCs w:val="22"/>
                                    </w:rPr>
                                    <w:fldChar w:fldCharType="separate"/>
                                  </w:r>
                                  <w:r w:rsidR="00A014AC" w:rsidRPr="00A014AC">
                                    <w:rPr>
                                      <w:rStyle w:val="PageNumber"/>
                                      <w:b/>
                                      <w:bCs/>
                                      <w:noProof/>
                                      <w:color w:val="403152"/>
                                      <w:sz w:val="16"/>
                                      <w:szCs w:val="16"/>
                                    </w:rPr>
                                    <w:t>1</w:t>
                                  </w:r>
                                  <w:r w:rsidRPr="00674134">
                                    <w:rPr>
                                      <w:rStyle w:val="PageNumber"/>
                                      <w:b/>
                                      <w:bCs/>
                                      <w:color w:val="403152"/>
                                      <w:sz w:val="16"/>
                                      <w:szCs w:val="16"/>
                                    </w:rPr>
                                    <w:fldChar w:fldCharType="end"/>
                                  </w:r>
                                </w:p>
                              </w:txbxContent>
                            </wps:txbx>
                            <wps:bodyPr rot="0" vert="horz" wrap="square" lIns="0" tIns="0" rIns="0" bIns="0" anchor="ctr" anchorCtr="0" upright="1">
                              <a:noAutofit/>
                            </wps:bodyPr>
                          </wps:wsp>
                          <wpg:grpSp>
                            <wpg:cNvPr id="29" name="Group 72"/>
                            <wpg:cNvGrpSpPr>
                              <a:grpSpLocks/>
                            </wpg:cNvGrpSpPr>
                            <wpg:grpSpPr bwMode="auto">
                              <a:xfrm>
                                <a:off x="886" y="3255"/>
                                <a:ext cx="374" cy="374"/>
                                <a:chOff x="1453" y="14832"/>
                                <a:chExt cx="374" cy="374"/>
                              </a:xfrm>
                            </wpg:grpSpPr>
                            <wps:wsp>
                              <wps:cNvPr id="30" name="Oval 73"/>
                              <wps:cNvSpPr>
                                <a:spLocks noChangeArrowheads="1"/>
                              </wps:cNvSpPr>
                              <wps:spPr bwMode="auto">
                                <a:xfrm>
                                  <a:off x="1453" y="14832"/>
                                  <a:ext cx="374" cy="374"/>
                                </a:xfrm>
                                <a:prstGeom prst="ellipse">
                                  <a:avLst/>
                                </a:prstGeom>
                                <a:noFill/>
                                <a:ln w="6350">
                                  <a:solidFill>
                                    <a:srgbClr val="84A2C6"/>
                                  </a:solidFill>
                                  <a:round/>
                                  <a:headEnd/>
                                  <a:tailEnd/>
                                </a:ln>
                              </wps:spPr>
                              <wps:bodyPr rot="0" vert="horz" wrap="square" lIns="91440" tIns="45720" rIns="91440" bIns="45720" anchor="t" anchorCtr="0" upright="1">
                                <a:noAutofit/>
                              </wps:bodyPr>
                            </wps:wsp>
                            <wps:wsp>
                              <wps:cNvPr id="31" name="Oval 74"/>
                              <wps:cNvSpPr>
                                <a:spLocks noChangeArrowheads="1"/>
                              </wps:cNvSpPr>
                              <wps:spPr bwMode="auto">
                                <a:xfrm>
                                  <a:off x="1462" y="14835"/>
                                  <a:ext cx="101" cy="101"/>
                                </a:xfrm>
                                <a:prstGeom prst="ellipse">
                                  <a:avLst/>
                                </a:prstGeom>
                                <a:solidFill>
                                  <a:srgbClr val="84A2C6"/>
                                </a:solidFill>
                                <a:ln>
                                  <a:noFill/>
                                </a:ln>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09589BA" id="Group 27" o:spid="_x0000_s1026" style="position:absolute;left:0;text-align:left;margin-left:556.75pt;margin-top:772.9pt;width:38.45pt;height:18.7pt;z-index:251687936;mso-position-horizontal-relative:page;mso-position-vertical-relative:page" coordorigin="689,3255" coordsize="769,37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" o:allowincell="f">
                    <v:shapetype id="_x0000_t202" coordsize="21600,21600" o:spt="202" path="m,l,21600r21600,l21600,xe">
                      <v:stroke joinstyle="miter"/>
                      <v:path gradientshapeok="t" o:connecttype="rect"/>
                    </v:shapetype>
                    <v:shape id="Text Box 71" o:spid="_x0000_s1027" type="#_x0000_t202" style="position:absolute;left:689;top:3263;width:769;height:36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" filled="f" stroked="f">
                      <v:textbox inset="0,0,0,0">
                        <w:txbxContent>
                          <w:p w14:paraId="647AF646" w14:textId="0DCCC84F" w:rsidR="00DA4DA2" w:rsidRDefault="00DA4DA2" w:rsidP="00DA4DA2">
                            <w:pPr>
                              <w:pStyle w:val="Header"/>
                              <w:jc w:val="center"/>
                            </w:pPr>
                            <w:r w:rsidRPr="00674134">
                              <w:rPr>
                                <w:sz w:val="22"/>
                                <w:szCs w:val="22"/>
                              </w:rPr>
                              <w:fldChar w:fldCharType="begin"/>
                            </w:r>
                            <w:r>
                              <w:instrText>PAGE    \* MERGEFORMAT</w:instrText>
                            </w:r>
                            <w:r w:rsidRPr="00674134">
                              <w:rPr>
                                <w:sz w:val="22"/>
                                <w:szCs w:val="22"/>
                              </w:rPr>
                              <w:fldChar w:fldCharType="separate"/>
                            </w:r>
                            <w:r w:rsidR="00A014AC" w:rsidRPr="00A014AC">
                              <w:rPr>
                                <w:rStyle w:val="PageNumber"/>
                                <w:b/>
                                <w:bCs/>
                                <w:noProof/>
                                <w:color w:val="403152"/>
                                <w:sz w:val="16"/>
                                <w:szCs w:val="16"/>
                              </w:rPr>
                              <w:t>1</w:t>
                            </w:r>
                            <w:r w:rsidRPr="00674134">
                              <w:rPr>
                                <w:rStyle w:val="PageNumber"/>
                                <w:b/>
                                <w:bCs/>
                                <w:color w:val="403152"/>
                                <w:sz w:val="16"/>
                                <w:szCs w:val="16"/>
                              </w:rPr>
                              <w:fldChar w:fldCharType="end"/>
                            </w:r>
                          </w:p>
                        </w:txbxContent>
                      </v:textbox>
                    </v:shape>
                    <v:group id="Group 72" o:spid="_x0000_s1028" style="position:absolute;left:886;top:3255;width:374;height:374" coordorigin="1453,14832" coordsize="374,3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">
                      <v:oval id="Oval 73" o:spid="_x0000_s1029" style="position:absolute;left:1453;top:14832;width:374;height:3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" filled="f" strokecolor="#84a2c6" strokeweight=".5pt"/>
                      <v:oval id="Oval 74" o:spid="_x0000_s1030" style="position:absolute;left:1462;top:14835;width:101;height:1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" fillcolor="#84a2c6" stroked="f"/>
                    </v:group>
                    <w10:wrap anchorx="page" anchory="page"/>
                  </v:group>
                </w:pict>
              </mc:Fallback>
            </mc:AlternateContent>
          </w:r>
          <w:r w:rsidRPr="00C056DA">
            <w:rPr>
              <w:b/>
              <w:color w:val="808080"/>
              <w:sz w:val="14"/>
              <w:szCs w:val="14"/>
            </w:rPr>
            <w:t xml:space="preserve">Ufficio stampa Unioncamere - </w:t>
          </w:r>
          <w:r w:rsidRPr="00C056DA">
            <w:rPr>
              <w:color w:val="808080"/>
              <w:sz w:val="14"/>
              <w:szCs w:val="14"/>
            </w:rPr>
            <w:t>06.4704 350-264</w:t>
          </w:r>
        </w:p>
        <w:p w14:paraId="3D31EF5D" w14:textId="7900D9E3" w:rsidR="0004145D" w:rsidRPr="00C056DA" w:rsidRDefault="00DA4DA2" w:rsidP="0004145D">
          <w:pPr>
            <w:pStyle w:val="Caption"/>
            <w:jc w:val="center"/>
            <w:rPr>
              <w:i w:val="0"/>
              <w:color w:val="808080"/>
              <w:sz w:val="14"/>
              <w:szCs w:val="14"/>
            </w:rPr>
          </w:pPr>
          <w:hyperlink r:id="rId2" w:history="1">
            <w:r w:rsidRPr="00C056DA">
              <w:rPr>
                <w:rStyle w:val="Hyperlink"/>
                <w:i w:val="0"/>
                <w:sz w:val="14"/>
                <w:szCs w:val="14"/>
              </w:rPr>
              <w:t>ufficio.stampa@unioncamere.it</w:t>
            </w:r>
          </w:hyperlink>
          <w:r w:rsidRPr="00C056DA">
            <w:rPr>
              <w:i w:val="0"/>
              <w:color w:val="808080"/>
              <w:sz w:val="14"/>
              <w:szCs w:val="14"/>
            </w:rPr>
            <w:br/>
          </w:r>
          <w:hyperlink r:id="rId3" w:history="1">
            <w:r w:rsidRPr="00C056DA">
              <w:rPr>
                <w:rStyle w:val="Hyperlink"/>
                <w:i w:val="0"/>
                <w:sz w:val="14"/>
                <w:szCs w:val="14"/>
              </w:rPr>
              <w:t>www.unioncamere.gov.it</w:t>
            </w:r>
          </w:hyperlink>
          <w:r w:rsidRPr="00C056DA">
            <w:rPr>
              <w:rStyle w:val="Hyperlink"/>
              <w:i w:val="0"/>
              <w:sz w:val="14"/>
              <w:szCs w:val="14"/>
              <w:u w:val="none"/>
            </w:rPr>
            <w:t xml:space="preserve"> - </w:t>
          </w:r>
          <w:hyperlink r:id="rId4" w:history="1">
            <w:r w:rsidRPr="00C056DA">
              <w:rPr>
                <w:rStyle w:val="Hyperlink"/>
                <w:i w:val="0"/>
                <w:sz w:val="14"/>
                <w:szCs w:val="14"/>
              </w:rPr>
              <w:t>twitter.com/</w:t>
            </w:r>
            <w:proofErr w:type="spellStart"/>
            <w:r w:rsidRPr="00C056DA">
              <w:rPr>
                <w:rStyle w:val="Hyperlink"/>
                <w:i w:val="0"/>
                <w:sz w:val="14"/>
                <w:szCs w:val="14"/>
              </w:rPr>
              <w:t>unioncamere</w:t>
            </w:r>
            <w:proofErr w:type="spellEnd"/>
          </w:hyperlink>
        </w:p>
      </w:tc>
      <w:tc>
        <w:tcPr>
          <w:tcW w:w="1774" w:type="pct"/>
          <w:tcBorders>
            <w:left w:val="single" w:sz="4" w:space="0" w:color="808080"/>
          </w:tcBorders>
        </w:tcPr>
        <w:p w14:paraId="3FB8A2C5" w14:textId="77777777" w:rsidR="00DA4DA2" w:rsidRPr="00C056DA" w:rsidRDefault="00DA4DA2" w:rsidP="00DA4DA2">
          <w:pPr>
            <w:pStyle w:val="Footer"/>
            <w:jc w:val="center"/>
            <w:rPr>
              <w:b/>
              <w:color w:val="808080"/>
              <w:sz w:val="14"/>
              <w:szCs w:val="14"/>
            </w:rPr>
          </w:pPr>
          <w:r w:rsidRPr="00C056DA">
            <w:rPr>
              <w:b/>
              <w:color w:val="808080"/>
              <w:sz w:val="14"/>
              <w:szCs w:val="14"/>
            </w:rPr>
            <w:t xml:space="preserve">Responsabile ufficio stampa e comunicazione Centro Studi Tagliacarne  </w:t>
          </w:r>
        </w:p>
        <w:p w14:paraId="29492D32" w14:textId="77777777" w:rsidR="00DA4DA2" w:rsidRPr="00C056DA" w:rsidRDefault="00DA4DA2" w:rsidP="00DA4DA2">
          <w:pPr>
            <w:pStyle w:val="Footer"/>
            <w:jc w:val="center"/>
            <w:rPr>
              <w:b/>
              <w:color w:val="808080"/>
              <w:sz w:val="14"/>
              <w:szCs w:val="14"/>
            </w:rPr>
          </w:pPr>
          <w:r w:rsidRPr="00C056DA">
            <w:rPr>
              <w:b/>
              <w:color w:val="808080"/>
              <w:sz w:val="14"/>
              <w:szCs w:val="14"/>
            </w:rPr>
            <w:t xml:space="preserve">Loredana Capuozzo </w:t>
          </w:r>
          <w:proofErr w:type="spellStart"/>
          <w:r w:rsidRPr="00C056DA">
            <w:rPr>
              <w:b/>
              <w:color w:val="808080"/>
              <w:sz w:val="14"/>
              <w:szCs w:val="14"/>
            </w:rPr>
            <w:t>cell</w:t>
          </w:r>
          <w:proofErr w:type="spellEnd"/>
          <w:r w:rsidRPr="00C056DA">
            <w:rPr>
              <w:b/>
              <w:color w:val="808080"/>
              <w:sz w:val="14"/>
              <w:szCs w:val="14"/>
            </w:rPr>
            <w:t xml:space="preserve">. 331.6098963, loredana.capuozzo@tagliacarne.it </w:t>
          </w:r>
        </w:p>
        <w:p w14:paraId="77579188" w14:textId="71D19CD2" w:rsidR="00DA4DA2" w:rsidRPr="00C056DA" w:rsidRDefault="00DA4DA2" w:rsidP="00DA4DA2">
          <w:pPr>
            <w:pStyle w:val="Footer"/>
            <w:jc w:val="center"/>
            <w:rPr>
              <w:color w:val="808080"/>
              <w:sz w:val="14"/>
              <w:szCs w:val="14"/>
            </w:rPr>
          </w:pPr>
          <w:hyperlink r:id="rId5" w:history="1">
            <w:r w:rsidRPr="00C056DA">
              <w:rPr>
                <w:rStyle w:val="Hyperlink"/>
                <w:sz w:val="14"/>
                <w:szCs w:val="14"/>
              </w:rPr>
              <w:t>www.tagliacarne.it</w:t>
            </w:r>
          </w:hyperlink>
          <w:r w:rsidRPr="00C056DA">
            <w:rPr>
              <w:rStyle w:val="Hyperlink"/>
              <w:sz w:val="14"/>
              <w:szCs w:val="14"/>
              <w:u w:val="none"/>
            </w:rPr>
            <w:t xml:space="preserve"> </w:t>
          </w:r>
          <w:r w:rsidR="0004145D" w:rsidRPr="00C056DA">
            <w:rPr>
              <w:color w:val="808080"/>
              <w:sz w:val="14"/>
              <w:szCs w:val="14"/>
            </w:rPr>
            <w:t xml:space="preserve">- </w:t>
          </w:r>
          <w:hyperlink r:id="rId6" w:history="1">
            <w:r w:rsidRPr="00C056DA">
              <w:rPr>
                <w:rStyle w:val="Hyperlink"/>
                <w:sz w:val="14"/>
                <w:szCs w:val="14"/>
              </w:rPr>
              <w:t>twitter.com/</w:t>
            </w:r>
            <w:proofErr w:type="spellStart"/>
            <w:r w:rsidRPr="00C056DA">
              <w:rPr>
                <w:rStyle w:val="Hyperlink"/>
                <w:sz w:val="14"/>
                <w:szCs w:val="14"/>
              </w:rPr>
              <w:t>IstTagliacarne</w:t>
            </w:r>
            <w:proofErr w:type="spellEnd"/>
          </w:hyperlink>
        </w:p>
      </w:tc>
    </w:tr>
  </w:tbl>
  <w:p w14:paraId="2D8D61F8" w14:textId="77777777" w:rsidR="008743A7" w:rsidRPr="00DA4DA2" w:rsidRDefault="008743A7" w:rsidP="00DA4D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AB34CE" w14:textId="77777777" w:rsidR="006F0768" w:rsidRDefault="006F0768">
      <w:r>
        <w:separator/>
      </w:r>
    </w:p>
  </w:footnote>
  <w:footnote w:type="continuationSeparator" w:id="0">
    <w:p w14:paraId="4B44A6B2" w14:textId="77777777" w:rsidR="006F0768" w:rsidRDefault="006F0768">
      <w:r>
        <w:continuationSeparator/>
      </w:r>
    </w:p>
  </w:footnote>
  <w:footnote w:id="1">
    <w:p w14:paraId="2A2C555E" w14:textId="68A1714F" w:rsidR="00157A44" w:rsidRPr="000276FB" w:rsidRDefault="00157A44" w:rsidP="00C7169A">
      <w:pPr>
        <w:pStyle w:val="FootnoteText"/>
        <w:jc w:val="both"/>
        <w:rPr>
          <w:sz w:val="16"/>
          <w:szCs w:val="16"/>
        </w:rPr>
      </w:pPr>
      <w:r w:rsidRPr="000276FB">
        <w:rPr>
          <w:rStyle w:val="FootnoteReference"/>
          <w:sz w:val="16"/>
          <w:szCs w:val="16"/>
        </w:rPr>
        <w:footnoteRef/>
      </w:r>
      <w:r w:rsidRPr="000276FB">
        <w:rPr>
          <w:sz w:val="16"/>
          <w:szCs w:val="16"/>
        </w:rPr>
        <w:t xml:space="preserve"> </w:t>
      </w:r>
      <w:r w:rsidR="00152A46" w:rsidRPr="0002573D">
        <w:rPr>
          <w:sz w:val="16"/>
          <w:szCs w:val="16"/>
        </w:rPr>
        <w:t>Sono considerate medie le imprese che nel 2023 hanno realizzato un fatturato compreso tra 19 e 415 milioni di euro</w:t>
      </w:r>
      <w:r w:rsidR="00F31DFC" w:rsidRPr="0002573D">
        <w:rPr>
          <w:sz w:val="16"/>
          <w:szCs w:val="16"/>
        </w:rPr>
        <w:t xml:space="preserve"> con una forza lavoro compresa tra 50 e 499 dipendenti</w:t>
      </w:r>
      <w:r w:rsidR="00152A46" w:rsidRPr="0002573D">
        <w:rPr>
          <w:sz w:val="16"/>
          <w:szCs w:val="16"/>
        </w:rPr>
        <w:t xml:space="preserve">. Le medio-grandi superano almeno uno </w:t>
      </w:r>
      <w:r w:rsidR="00F31DFC" w:rsidRPr="0002573D">
        <w:rPr>
          <w:sz w:val="16"/>
          <w:szCs w:val="16"/>
        </w:rPr>
        <w:t>dei limiti superiori</w:t>
      </w:r>
      <w:r w:rsidR="00152A46" w:rsidRPr="0002573D">
        <w:rPr>
          <w:sz w:val="16"/>
          <w:szCs w:val="16"/>
        </w:rPr>
        <w:t xml:space="preserve"> </w:t>
      </w:r>
      <w:r w:rsidR="00F31DFC" w:rsidRPr="0002573D">
        <w:rPr>
          <w:sz w:val="16"/>
          <w:szCs w:val="16"/>
        </w:rPr>
        <w:t xml:space="preserve">delle medie </w:t>
      </w:r>
      <w:r w:rsidR="00152A46" w:rsidRPr="0002573D">
        <w:rPr>
          <w:sz w:val="16"/>
          <w:szCs w:val="16"/>
        </w:rPr>
        <w:t>senza oltrepassare la soglia dei 2,99 miliardi di euro.</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4BB44" w14:textId="77777777" w:rsidR="00C056DA" w:rsidRDefault="00C056D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DA4DA2" w14:paraId="33BE18E2" w14:textId="77777777" w:rsidTr="00DA4DA2">
      <w:trPr>
        <w:trHeight w:val="983"/>
      </w:trPr>
      <w:tc>
        <w:tcPr>
          <w:tcW w:w="2929" w:type="dxa"/>
          <w:vAlign w:val="center"/>
        </w:tcPr>
        <w:p w14:paraId="52BF7172" w14:textId="4976F802" w:rsidR="00DA4DA2" w:rsidRDefault="00DA4DA2" w:rsidP="00DA4DA2">
          <w:pPr>
            <w:pStyle w:val="Header"/>
            <w:jc w:val="center"/>
          </w:pPr>
          <w:r>
            <w:rPr>
              <w:noProof/>
            </w:rPr>
            <w:drawing>
              <wp:inline distT="0" distB="0" distL="0" distR="0" wp14:anchorId="7415326D" wp14:editId="03909A91">
                <wp:extent cx="1382486" cy="252253"/>
                <wp:effectExtent l="0" t="0" r="8255" b="0"/>
                <wp:docPr id="150" name="Immagine 150"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8360" cy="267922"/>
                        </a:xfrm>
                        <a:prstGeom prst="rect">
                          <a:avLst/>
                        </a:prstGeom>
                        <a:noFill/>
                      </pic:spPr>
                    </pic:pic>
                  </a:graphicData>
                </a:graphic>
              </wp:inline>
            </w:drawing>
          </w:r>
        </w:p>
      </w:tc>
      <w:tc>
        <w:tcPr>
          <w:tcW w:w="2930" w:type="dxa"/>
          <w:vAlign w:val="center"/>
        </w:tcPr>
        <w:p w14:paraId="15700480" w14:textId="110680C4" w:rsidR="00DA4DA2" w:rsidRDefault="00DA4DA2" w:rsidP="00DA4DA2">
          <w:pPr>
            <w:pStyle w:val="Header"/>
            <w:jc w:val="center"/>
          </w:pPr>
          <w:r>
            <w:rPr>
              <w:noProof/>
            </w:rPr>
            <w:drawing>
              <wp:inline distT="0" distB="0" distL="0" distR="0" wp14:anchorId="63907173" wp14:editId="2A31AC46">
                <wp:extent cx="1279071" cy="300922"/>
                <wp:effectExtent l="0" t="0" r="0" b="4445"/>
                <wp:docPr id="151" name="Immagine 151"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37907" cy="314764"/>
                        </a:xfrm>
                        <a:prstGeom prst="rect">
                          <a:avLst/>
                        </a:prstGeom>
                        <a:noFill/>
                        <a:ln>
                          <a:noFill/>
                        </a:ln>
                      </pic:spPr>
                    </pic:pic>
                  </a:graphicData>
                </a:graphic>
              </wp:inline>
            </w:drawing>
          </w:r>
        </w:p>
      </w:tc>
      <w:tc>
        <w:tcPr>
          <w:tcW w:w="2930" w:type="dxa"/>
          <w:vAlign w:val="center"/>
        </w:tcPr>
        <w:p w14:paraId="05694D10" w14:textId="675E8753" w:rsidR="00DA4DA2" w:rsidRDefault="00DA4DA2" w:rsidP="00DA4DA2">
          <w:pPr>
            <w:pStyle w:val="Header"/>
            <w:jc w:val="center"/>
          </w:pPr>
          <w:r w:rsidRPr="00EB5491">
            <w:rPr>
              <w:noProof/>
            </w:rPr>
            <w:drawing>
              <wp:inline distT="0" distB="0" distL="0" distR="0" wp14:anchorId="0CFA0292" wp14:editId="03E3BCD5">
                <wp:extent cx="1513115" cy="383259"/>
                <wp:effectExtent l="0" t="0" r="0" b="0"/>
                <wp:docPr id="152" name="Immagine 152"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00" r="4813"/>
                        <a:stretch/>
                      </pic:blipFill>
                      <pic:spPr bwMode="auto">
                        <a:xfrm>
                          <a:off x="0" y="0"/>
                          <a:ext cx="1545270" cy="391404"/>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445B542F" w14:textId="7211F1AE" w:rsidR="00DA4DA2" w:rsidRDefault="00DA4DA2" w:rsidP="00DB612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8789" w:type="dxa"/>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29"/>
      <w:gridCol w:w="2930"/>
      <w:gridCol w:w="2930"/>
    </w:tblGrid>
    <w:tr w:rsidR="00DA4DA2" w14:paraId="0F025260" w14:textId="77777777" w:rsidTr="00886E60">
      <w:trPr>
        <w:trHeight w:val="983"/>
      </w:trPr>
      <w:tc>
        <w:tcPr>
          <w:tcW w:w="2929" w:type="dxa"/>
          <w:vAlign w:val="center"/>
        </w:tcPr>
        <w:p w14:paraId="785BBCFF" w14:textId="77777777" w:rsidR="00DA4DA2" w:rsidRDefault="00DA4DA2" w:rsidP="00DA4DA2">
          <w:pPr>
            <w:pStyle w:val="Header"/>
            <w:jc w:val="center"/>
          </w:pPr>
          <w:r>
            <w:rPr>
              <w:noProof/>
            </w:rPr>
            <w:drawing>
              <wp:inline distT="0" distB="0" distL="0" distR="0" wp14:anchorId="28AB362F" wp14:editId="4B4A7F17">
                <wp:extent cx="1701165" cy="310400"/>
                <wp:effectExtent l="0" t="0" r="0" b="0"/>
                <wp:docPr id="153" name="Immagine 17"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Immagine 13"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66564" cy="322333"/>
                        </a:xfrm>
                        <a:prstGeom prst="rect">
                          <a:avLst/>
                        </a:prstGeom>
                        <a:noFill/>
                      </pic:spPr>
                    </pic:pic>
                  </a:graphicData>
                </a:graphic>
              </wp:inline>
            </w:drawing>
          </w:r>
        </w:p>
      </w:tc>
      <w:tc>
        <w:tcPr>
          <w:tcW w:w="2930" w:type="dxa"/>
          <w:vAlign w:val="center"/>
        </w:tcPr>
        <w:p w14:paraId="726E780C" w14:textId="77777777" w:rsidR="00DA4DA2" w:rsidRDefault="00DA4DA2" w:rsidP="00DA4DA2">
          <w:pPr>
            <w:pStyle w:val="Header"/>
            <w:jc w:val="center"/>
          </w:pPr>
          <w:r>
            <w:rPr>
              <w:noProof/>
            </w:rPr>
            <w:drawing>
              <wp:inline distT="0" distB="0" distL="0" distR="0" wp14:anchorId="03FA8347" wp14:editId="3C8B002D">
                <wp:extent cx="1644733" cy="386949"/>
                <wp:effectExtent l="0" t="0" r="0" b="0"/>
                <wp:docPr id="154" name="Immagine 9" descr="Descrizione: http://www.unioncamere.gov.it/images/logo_unioncame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descr="Descrizione: http://www.unioncamere.gov.it/images/logo_unioncamere.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675959" cy="394295"/>
                        </a:xfrm>
                        <a:prstGeom prst="rect">
                          <a:avLst/>
                        </a:prstGeom>
                        <a:noFill/>
                        <a:ln>
                          <a:noFill/>
                        </a:ln>
                      </pic:spPr>
                    </pic:pic>
                  </a:graphicData>
                </a:graphic>
              </wp:inline>
            </w:drawing>
          </w:r>
        </w:p>
      </w:tc>
      <w:tc>
        <w:tcPr>
          <w:tcW w:w="2930" w:type="dxa"/>
          <w:vAlign w:val="center"/>
        </w:tcPr>
        <w:p w14:paraId="1300567A" w14:textId="77777777" w:rsidR="00DA4DA2" w:rsidRDefault="00DA4DA2" w:rsidP="00DA4DA2">
          <w:pPr>
            <w:pStyle w:val="Header"/>
            <w:jc w:val="center"/>
          </w:pPr>
          <w:r w:rsidRPr="00EB5491">
            <w:rPr>
              <w:noProof/>
            </w:rPr>
            <w:drawing>
              <wp:inline distT="0" distB="0" distL="0" distR="0" wp14:anchorId="3B929FD4" wp14:editId="38ADC622">
                <wp:extent cx="1691764" cy="428509"/>
                <wp:effectExtent l="0" t="0" r="3810" b="0"/>
                <wp:docPr id="155" name="Immagine 10" descr="C:\Users\User\Desktop\lavoro_loredana_e_lory08022021\lavoro_loredana\taglicarne_strategia\logo_tagliacarne\marchio Tagliacarne (2)\marchio-TAGLIACARNE-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lavoro_loredana_e_lory08022021\lavoro_loredana\taglicarne_strategia\logo_tagliacarne\marchio Tagliacarne (2)\marchio-TAGLIACARNE-RGB.jpg"/>
                        <pic:cNvPicPr>
                          <a:picLocks noChangeAspect="1" noChangeArrowheads="1"/>
                        </pic:cNvPicPr>
                      </pic:nvPicPr>
                      <pic:blipFill rotWithShape="1">
                        <a:blip r:embed="rId3">
                          <a:extLst>
                            <a:ext uri="{28A0092B-C50C-407E-A947-70E740481C1C}">
                              <a14:useLocalDpi xmlns:a14="http://schemas.microsoft.com/office/drawing/2010/main" val="0"/>
                            </a:ext>
                          </a:extLst>
                        </a:blip>
                        <a:srcRect l="2600" r="4813"/>
                        <a:stretch/>
                      </pic:blipFill>
                      <pic:spPr bwMode="auto">
                        <a:xfrm>
                          <a:off x="0" y="0"/>
                          <a:ext cx="1691764" cy="428509"/>
                        </a:xfrm>
                        <a:prstGeom prst="rect">
                          <a:avLst/>
                        </a:prstGeom>
                        <a:noFill/>
                        <a:ln>
                          <a:noFill/>
                        </a:ln>
                        <a:extLst>
                          <a:ext uri="{53640926-AAD7-44D8-BBD7-CCE9431645EC}">
                            <a14:shadowObscured xmlns:a14="http://schemas.microsoft.com/office/drawing/2010/main"/>
                          </a:ext>
                        </a:extLst>
                      </pic:spPr>
                    </pic:pic>
                  </a:graphicData>
                </a:graphic>
              </wp:inline>
            </w:drawing>
          </w:r>
        </w:p>
      </w:tc>
    </w:tr>
  </w:tbl>
  <w:p w14:paraId="0E354D2A" w14:textId="7040BF57" w:rsidR="008743A7" w:rsidRPr="00DA4DA2" w:rsidRDefault="008743A7" w:rsidP="00DA4DA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D5C10"/>
    <w:multiLevelType w:val="multilevel"/>
    <w:tmpl w:val="80E44426"/>
    <w:lvl w:ilvl="0">
      <w:start w:val="1"/>
      <w:numFmt w:val="decimal"/>
      <w:pStyle w:val="TOCHeading"/>
      <w:lvlText w:val="%1."/>
      <w:lvlJc w:val="left"/>
      <w:pPr>
        <w:ind w:left="360" w:hanging="360"/>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15:restartNumberingAfterBreak="0">
    <w:nsid w:val="69BA4F2F"/>
    <w:multiLevelType w:val="singleLevel"/>
    <w:tmpl w:val="851CE2B8"/>
    <w:lvl w:ilvl="0">
      <w:start w:val="1"/>
      <w:numFmt w:val="bullet"/>
      <w:pStyle w:val="Rientrolettere"/>
      <w:lvlText w:val="-"/>
      <w:lvlJc w:val="left"/>
      <w:pPr>
        <w:tabs>
          <w:tab w:val="num" w:pos="360"/>
        </w:tabs>
        <w:ind w:left="360" w:hanging="360"/>
      </w:pPr>
      <w:rPr>
        <w:rFonts w:ascii="Times New Roman" w:hAnsi="Times New Roman" w:hint="default"/>
      </w:rPr>
    </w:lvl>
  </w:abstractNum>
  <w:abstractNum w:abstractNumId="2" w15:restartNumberingAfterBreak="0">
    <w:nsid w:val="75516FD1"/>
    <w:multiLevelType w:val="multilevel"/>
    <w:tmpl w:val="B91E3F5E"/>
    <w:lvl w:ilvl="0">
      <w:start w:val="1"/>
      <w:numFmt w:val="decimal"/>
      <w:lvlText w:val="%1."/>
      <w:lvlJc w:val="left"/>
      <w:pPr>
        <w:tabs>
          <w:tab w:val="num" w:pos="360"/>
        </w:tabs>
        <w:ind w:left="360" w:hanging="360"/>
      </w:pPr>
    </w:lvl>
    <w:lvl w:ilvl="1">
      <w:start w:val="1"/>
      <w:numFmt w:val="decimal"/>
      <w:pStyle w:val="S2"/>
      <w:lvlText w:val="%1.%2."/>
      <w:lvlJc w:val="left"/>
      <w:pPr>
        <w:tabs>
          <w:tab w:val="num" w:pos="792"/>
        </w:tabs>
        <w:ind w:left="792" w:hanging="79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271254445">
    <w:abstractNumId w:val="2"/>
  </w:num>
  <w:num w:numId="2" w16cid:durableId="257101208">
    <w:abstractNumId w:val="1"/>
  </w:num>
  <w:num w:numId="3" w16cid:durableId="1586575895">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attachedTemplate r:id="rId1"/>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7BF0"/>
    <w:rsid w:val="000005E4"/>
    <w:rsid w:val="000009EE"/>
    <w:rsid w:val="0000121D"/>
    <w:rsid w:val="00001619"/>
    <w:rsid w:val="00002B29"/>
    <w:rsid w:val="00002DE1"/>
    <w:rsid w:val="000038BD"/>
    <w:rsid w:val="00005966"/>
    <w:rsid w:val="00005D70"/>
    <w:rsid w:val="0000771E"/>
    <w:rsid w:val="00007DA7"/>
    <w:rsid w:val="00010C6B"/>
    <w:rsid w:val="00012059"/>
    <w:rsid w:val="00013BF5"/>
    <w:rsid w:val="00014811"/>
    <w:rsid w:val="00016D78"/>
    <w:rsid w:val="00020394"/>
    <w:rsid w:val="000228AD"/>
    <w:rsid w:val="00022C76"/>
    <w:rsid w:val="0002367A"/>
    <w:rsid w:val="000246F9"/>
    <w:rsid w:val="00025355"/>
    <w:rsid w:val="0002573D"/>
    <w:rsid w:val="00025B7F"/>
    <w:rsid w:val="00026157"/>
    <w:rsid w:val="000268D8"/>
    <w:rsid w:val="000276FB"/>
    <w:rsid w:val="00027F2E"/>
    <w:rsid w:val="00030F34"/>
    <w:rsid w:val="00036D91"/>
    <w:rsid w:val="0003754B"/>
    <w:rsid w:val="000375A6"/>
    <w:rsid w:val="00037DA9"/>
    <w:rsid w:val="000407AF"/>
    <w:rsid w:val="00040B13"/>
    <w:rsid w:val="0004145D"/>
    <w:rsid w:val="00041FD2"/>
    <w:rsid w:val="00043006"/>
    <w:rsid w:val="00043699"/>
    <w:rsid w:val="00043B5D"/>
    <w:rsid w:val="00044A3C"/>
    <w:rsid w:val="00047A26"/>
    <w:rsid w:val="00051CF6"/>
    <w:rsid w:val="00052703"/>
    <w:rsid w:val="000533F9"/>
    <w:rsid w:val="00054023"/>
    <w:rsid w:val="00054263"/>
    <w:rsid w:val="000564CD"/>
    <w:rsid w:val="000567F3"/>
    <w:rsid w:val="000601CF"/>
    <w:rsid w:val="000646D6"/>
    <w:rsid w:val="00065EAB"/>
    <w:rsid w:val="00071734"/>
    <w:rsid w:val="0007186F"/>
    <w:rsid w:val="00071D84"/>
    <w:rsid w:val="00071FF0"/>
    <w:rsid w:val="000723A9"/>
    <w:rsid w:val="00072B57"/>
    <w:rsid w:val="00073163"/>
    <w:rsid w:val="00073218"/>
    <w:rsid w:val="000732A6"/>
    <w:rsid w:val="000803DF"/>
    <w:rsid w:val="00081087"/>
    <w:rsid w:val="00081250"/>
    <w:rsid w:val="0008161F"/>
    <w:rsid w:val="00081D29"/>
    <w:rsid w:val="000836A4"/>
    <w:rsid w:val="00084EB3"/>
    <w:rsid w:val="00085058"/>
    <w:rsid w:val="00085375"/>
    <w:rsid w:val="00085707"/>
    <w:rsid w:val="00085E78"/>
    <w:rsid w:val="00090916"/>
    <w:rsid w:val="00090BB6"/>
    <w:rsid w:val="000918A3"/>
    <w:rsid w:val="0009305C"/>
    <w:rsid w:val="00093B59"/>
    <w:rsid w:val="000942A2"/>
    <w:rsid w:val="00094810"/>
    <w:rsid w:val="000949BD"/>
    <w:rsid w:val="00094BD1"/>
    <w:rsid w:val="00094C6C"/>
    <w:rsid w:val="00095103"/>
    <w:rsid w:val="000A0D17"/>
    <w:rsid w:val="000A12E7"/>
    <w:rsid w:val="000A2A38"/>
    <w:rsid w:val="000A3E4D"/>
    <w:rsid w:val="000A3FBE"/>
    <w:rsid w:val="000A5AA4"/>
    <w:rsid w:val="000A5C7E"/>
    <w:rsid w:val="000A6E5E"/>
    <w:rsid w:val="000A71E9"/>
    <w:rsid w:val="000A7CD9"/>
    <w:rsid w:val="000B2D19"/>
    <w:rsid w:val="000B3599"/>
    <w:rsid w:val="000B50F7"/>
    <w:rsid w:val="000B6C06"/>
    <w:rsid w:val="000B6C40"/>
    <w:rsid w:val="000B6C88"/>
    <w:rsid w:val="000B7174"/>
    <w:rsid w:val="000B71A1"/>
    <w:rsid w:val="000B7509"/>
    <w:rsid w:val="000C0E5C"/>
    <w:rsid w:val="000C1F49"/>
    <w:rsid w:val="000C3835"/>
    <w:rsid w:val="000C42A4"/>
    <w:rsid w:val="000C445D"/>
    <w:rsid w:val="000C4837"/>
    <w:rsid w:val="000C48B9"/>
    <w:rsid w:val="000C49BF"/>
    <w:rsid w:val="000C5039"/>
    <w:rsid w:val="000C5413"/>
    <w:rsid w:val="000C6B40"/>
    <w:rsid w:val="000C7F11"/>
    <w:rsid w:val="000D06CB"/>
    <w:rsid w:val="000D3F54"/>
    <w:rsid w:val="000D41A5"/>
    <w:rsid w:val="000D4F6C"/>
    <w:rsid w:val="000D55E4"/>
    <w:rsid w:val="000D5D55"/>
    <w:rsid w:val="000D6964"/>
    <w:rsid w:val="000D7D12"/>
    <w:rsid w:val="000D7F3F"/>
    <w:rsid w:val="000E0E3F"/>
    <w:rsid w:val="000E3208"/>
    <w:rsid w:val="000E3BBC"/>
    <w:rsid w:val="000E48CB"/>
    <w:rsid w:val="000E4964"/>
    <w:rsid w:val="000E5BF7"/>
    <w:rsid w:val="000E5DD0"/>
    <w:rsid w:val="000E6682"/>
    <w:rsid w:val="000E669F"/>
    <w:rsid w:val="000E6FE3"/>
    <w:rsid w:val="000E7F9E"/>
    <w:rsid w:val="000F01DB"/>
    <w:rsid w:val="000F1611"/>
    <w:rsid w:val="000F2088"/>
    <w:rsid w:val="000F2D02"/>
    <w:rsid w:val="000F4878"/>
    <w:rsid w:val="000F4992"/>
    <w:rsid w:val="000F52F5"/>
    <w:rsid w:val="001010B0"/>
    <w:rsid w:val="00101AAA"/>
    <w:rsid w:val="00102516"/>
    <w:rsid w:val="0010275E"/>
    <w:rsid w:val="001036C0"/>
    <w:rsid w:val="00103A8C"/>
    <w:rsid w:val="00105352"/>
    <w:rsid w:val="00105FA4"/>
    <w:rsid w:val="001073D8"/>
    <w:rsid w:val="00107732"/>
    <w:rsid w:val="00107FD1"/>
    <w:rsid w:val="00112C40"/>
    <w:rsid w:val="00112E7A"/>
    <w:rsid w:val="001137F5"/>
    <w:rsid w:val="00113CA9"/>
    <w:rsid w:val="00114CC3"/>
    <w:rsid w:val="0011671A"/>
    <w:rsid w:val="0011751D"/>
    <w:rsid w:val="00117C47"/>
    <w:rsid w:val="00120F09"/>
    <w:rsid w:val="00122888"/>
    <w:rsid w:val="00124C76"/>
    <w:rsid w:val="00130C19"/>
    <w:rsid w:val="00131350"/>
    <w:rsid w:val="00132F0B"/>
    <w:rsid w:val="00134311"/>
    <w:rsid w:val="001344F4"/>
    <w:rsid w:val="001369C5"/>
    <w:rsid w:val="00137DAF"/>
    <w:rsid w:val="001406A2"/>
    <w:rsid w:val="00140A97"/>
    <w:rsid w:val="00141B7F"/>
    <w:rsid w:val="0014309F"/>
    <w:rsid w:val="00152A46"/>
    <w:rsid w:val="00153730"/>
    <w:rsid w:val="00155841"/>
    <w:rsid w:val="00156A03"/>
    <w:rsid w:val="00157A44"/>
    <w:rsid w:val="001608E0"/>
    <w:rsid w:val="00162BBF"/>
    <w:rsid w:val="00163DF6"/>
    <w:rsid w:val="00166758"/>
    <w:rsid w:val="00171C83"/>
    <w:rsid w:val="00171D9C"/>
    <w:rsid w:val="00171FE4"/>
    <w:rsid w:val="00172A83"/>
    <w:rsid w:val="0017446E"/>
    <w:rsid w:val="0017681C"/>
    <w:rsid w:val="00176868"/>
    <w:rsid w:val="0017715E"/>
    <w:rsid w:val="001774C2"/>
    <w:rsid w:val="00177C84"/>
    <w:rsid w:val="001803F1"/>
    <w:rsid w:val="00182DFE"/>
    <w:rsid w:val="00183646"/>
    <w:rsid w:val="0018372E"/>
    <w:rsid w:val="00183DE7"/>
    <w:rsid w:val="00186240"/>
    <w:rsid w:val="001871AD"/>
    <w:rsid w:val="001873E2"/>
    <w:rsid w:val="0019001D"/>
    <w:rsid w:val="0019162E"/>
    <w:rsid w:val="00192030"/>
    <w:rsid w:val="00192711"/>
    <w:rsid w:val="00192911"/>
    <w:rsid w:val="001956FC"/>
    <w:rsid w:val="00197DD6"/>
    <w:rsid w:val="001A0430"/>
    <w:rsid w:val="001A13D7"/>
    <w:rsid w:val="001A2F2A"/>
    <w:rsid w:val="001A3DB4"/>
    <w:rsid w:val="001A4694"/>
    <w:rsid w:val="001A5010"/>
    <w:rsid w:val="001B0CE5"/>
    <w:rsid w:val="001B14D1"/>
    <w:rsid w:val="001B1F1C"/>
    <w:rsid w:val="001B2038"/>
    <w:rsid w:val="001B233D"/>
    <w:rsid w:val="001B2987"/>
    <w:rsid w:val="001B3001"/>
    <w:rsid w:val="001B45B0"/>
    <w:rsid w:val="001B45DA"/>
    <w:rsid w:val="001B551E"/>
    <w:rsid w:val="001B603D"/>
    <w:rsid w:val="001B702B"/>
    <w:rsid w:val="001B7095"/>
    <w:rsid w:val="001B728F"/>
    <w:rsid w:val="001B76D7"/>
    <w:rsid w:val="001B797C"/>
    <w:rsid w:val="001C164A"/>
    <w:rsid w:val="001C1A8F"/>
    <w:rsid w:val="001C32D8"/>
    <w:rsid w:val="001C3453"/>
    <w:rsid w:val="001C3471"/>
    <w:rsid w:val="001C6F46"/>
    <w:rsid w:val="001C7DDF"/>
    <w:rsid w:val="001D2F9F"/>
    <w:rsid w:val="001D3B09"/>
    <w:rsid w:val="001D48B2"/>
    <w:rsid w:val="001D48E0"/>
    <w:rsid w:val="001D4AC4"/>
    <w:rsid w:val="001D7FEB"/>
    <w:rsid w:val="001E011E"/>
    <w:rsid w:val="001E0B60"/>
    <w:rsid w:val="001E3B5D"/>
    <w:rsid w:val="001E48C9"/>
    <w:rsid w:val="001E5C8C"/>
    <w:rsid w:val="001E77CE"/>
    <w:rsid w:val="001E79D7"/>
    <w:rsid w:val="001F1183"/>
    <w:rsid w:val="001F2D92"/>
    <w:rsid w:val="001F4613"/>
    <w:rsid w:val="001F4790"/>
    <w:rsid w:val="001F4B6B"/>
    <w:rsid w:val="001F75E9"/>
    <w:rsid w:val="001F781D"/>
    <w:rsid w:val="001F7BB3"/>
    <w:rsid w:val="002021C9"/>
    <w:rsid w:val="00206AE5"/>
    <w:rsid w:val="002075C7"/>
    <w:rsid w:val="0021221D"/>
    <w:rsid w:val="002131A3"/>
    <w:rsid w:val="0021595E"/>
    <w:rsid w:val="00215BBF"/>
    <w:rsid w:val="002203EB"/>
    <w:rsid w:val="00220ED8"/>
    <w:rsid w:val="00223583"/>
    <w:rsid w:val="0022365C"/>
    <w:rsid w:val="00224387"/>
    <w:rsid w:val="0022447E"/>
    <w:rsid w:val="002253DB"/>
    <w:rsid w:val="0022565B"/>
    <w:rsid w:val="002260C5"/>
    <w:rsid w:val="00226B11"/>
    <w:rsid w:val="002272BE"/>
    <w:rsid w:val="00227A8E"/>
    <w:rsid w:val="00232088"/>
    <w:rsid w:val="00232D07"/>
    <w:rsid w:val="0023386F"/>
    <w:rsid w:val="002342AB"/>
    <w:rsid w:val="00234BB9"/>
    <w:rsid w:val="00234D26"/>
    <w:rsid w:val="002352F5"/>
    <w:rsid w:val="002355BF"/>
    <w:rsid w:val="0024221C"/>
    <w:rsid w:val="00243614"/>
    <w:rsid w:val="00244A59"/>
    <w:rsid w:val="002473D0"/>
    <w:rsid w:val="00247843"/>
    <w:rsid w:val="002518CC"/>
    <w:rsid w:val="002528BC"/>
    <w:rsid w:val="002539D1"/>
    <w:rsid w:val="00254823"/>
    <w:rsid w:val="00257266"/>
    <w:rsid w:val="0026196D"/>
    <w:rsid w:val="00263179"/>
    <w:rsid w:val="002631B1"/>
    <w:rsid w:val="0026395C"/>
    <w:rsid w:val="002651AD"/>
    <w:rsid w:val="00265905"/>
    <w:rsid w:val="0027096B"/>
    <w:rsid w:val="002722CB"/>
    <w:rsid w:val="00272EC1"/>
    <w:rsid w:val="00276B33"/>
    <w:rsid w:val="002772A0"/>
    <w:rsid w:val="0028005A"/>
    <w:rsid w:val="002806B2"/>
    <w:rsid w:val="002814E2"/>
    <w:rsid w:val="00282EE4"/>
    <w:rsid w:val="0028340A"/>
    <w:rsid w:val="00283941"/>
    <w:rsid w:val="00283D02"/>
    <w:rsid w:val="00283E30"/>
    <w:rsid w:val="002852F6"/>
    <w:rsid w:val="00286262"/>
    <w:rsid w:val="00286BC8"/>
    <w:rsid w:val="00286EC3"/>
    <w:rsid w:val="00287176"/>
    <w:rsid w:val="00290AE9"/>
    <w:rsid w:val="00290FE2"/>
    <w:rsid w:val="00291EF2"/>
    <w:rsid w:val="00291FC6"/>
    <w:rsid w:val="00292D1C"/>
    <w:rsid w:val="002934B8"/>
    <w:rsid w:val="0029644F"/>
    <w:rsid w:val="00297F88"/>
    <w:rsid w:val="002A0269"/>
    <w:rsid w:val="002A0881"/>
    <w:rsid w:val="002A1355"/>
    <w:rsid w:val="002A1FA4"/>
    <w:rsid w:val="002A210C"/>
    <w:rsid w:val="002A24B1"/>
    <w:rsid w:val="002A2D80"/>
    <w:rsid w:val="002A48E2"/>
    <w:rsid w:val="002A5761"/>
    <w:rsid w:val="002A5770"/>
    <w:rsid w:val="002A7EF0"/>
    <w:rsid w:val="002B09A9"/>
    <w:rsid w:val="002B1170"/>
    <w:rsid w:val="002B1971"/>
    <w:rsid w:val="002B2079"/>
    <w:rsid w:val="002B20A7"/>
    <w:rsid w:val="002B2C5E"/>
    <w:rsid w:val="002B4EC8"/>
    <w:rsid w:val="002B506B"/>
    <w:rsid w:val="002B794A"/>
    <w:rsid w:val="002C1219"/>
    <w:rsid w:val="002C2807"/>
    <w:rsid w:val="002C29B9"/>
    <w:rsid w:val="002C54F8"/>
    <w:rsid w:val="002C55B1"/>
    <w:rsid w:val="002C6DB5"/>
    <w:rsid w:val="002C6F6B"/>
    <w:rsid w:val="002C7B2B"/>
    <w:rsid w:val="002C7F50"/>
    <w:rsid w:val="002D0B52"/>
    <w:rsid w:val="002D4712"/>
    <w:rsid w:val="002D5384"/>
    <w:rsid w:val="002D6E54"/>
    <w:rsid w:val="002D6F43"/>
    <w:rsid w:val="002D7D78"/>
    <w:rsid w:val="002E266D"/>
    <w:rsid w:val="002E5164"/>
    <w:rsid w:val="002F1B7D"/>
    <w:rsid w:val="002F240F"/>
    <w:rsid w:val="002F30DD"/>
    <w:rsid w:val="002F3100"/>
    <w:rsid w:val="002F41B8"/>
    <w:rsid w:val="002F4E19"/>
    <w:rsid w:val="002F56D6"/>
    <w:rsid w:val="002F6282"/>
    <w:rsid w:val="002F68C1"/>
    <w:rsid w:val="002F7257"/>
    <w:rsid w:val="002F7C37"/>
    <w:rsid w:val="003013AE"/>
    <w:rsid w:val="00301D4B"/>
    <w:rsid w:val="00303CD2"/>
    <w:rsid w:val="00304CFD"/>
    <w:rsid w:val="003100E6"/>
    <w:rsid w:val="003105A7"/>
    <w:rsid w:val="0031066C"/>
    <w:rsid w:val="0031084E"/>
    <w:rsid w:val="003108B6"/>
    <w:rsid w:val="00312972"/>
    <w:rsid w:val="0031402D"/>
    <w:rsid w:val="003156F3"/>
    <w:rsid w:val="0031678C"/>
    <w:rsid w:val="00316BC8"/>
    <w:rsid w:val="00321B95"/>
    <w:rsid w:val="00322997"/>
    <w:rsid w:val="003259C6"/>
    <w:rsid w:val="00325C3F"/>
    <w:rsid w:val="0032711B"/>
    <w:rsid w:val="00327FC5"/>
    <w:rsid w:val="0033416D"/>
    <w:rsid w:val="0033529A"/>
    <w:rsid w:val="00336BD8"/>
    <w:rsid w:val="0033788D"/>
    <w:rsid w:val="003408B7"/>
    <w:rsid w:val="00341286"/>
    <w:rsid w:val="00341EFB"/>
    <w:rsid w:val="003428DF"/>
    <w:rsid w:val="00343DD7"/>
    <w:rsid w:val="00344CAA"/>
    <w:rsid w:val="00350365"/>
    <w:rsid w:val="003506B5"/>
    <w:rsid w:val="00352D90"/>
    <w:rsid w:val="0035417E"/>
    <w:rsid w:val="00354D29"/>
    <w:rsid w:val="00354DAA"/>
    <w:rsid w:val="00355FE3"/>
    <w:rsid w:val="00356F3E"/>
    <w:rsid w:val="003608E6"/>
    <w:rsid w:val="0036179D"/>
    <w:rsid w:val="00361E8C"/>
    <w:rsid w:val="00362B70"/>
    <w:rsid w:val="00362BEA"/>
    <w:rsid w:val="00363A58"/>
    <w:rsid w:val="00366472"/>
    <w:rsid w:val="00370284"/>
    <w:rsid w:val="00370D06"/>
    <w:rsid w:val="00370EB6"/>
    <w:rsid w:val="003727CA"/>
    <w:rsid w:val="00372AC8"/>
    <w:rsid w:val="00374AA8"/>
    <w:rsid w:val="0038348D"/>
    <w:rsid w:val="00383763"/>
    <w:rsid w:val="00385016"/>
    <w:rsid w:val="003864F8"/>
    <w:rsid w:val="00391C7E"/>
    <w:rsid w:val="00391CC0"/>
    <w:rsid w:val="00391D84"/>
    <w:rsid w:val="003921CE"/>
    <w:rsid w:val="00392BE0"/>
    <w:rsid w:val="00392E91"/>
    <w:rsid w:val="00393DD2"/>
    <w:rsid w:val="00395DC2"/>
    <w:rsid w:val="00397CBF"/>
    <w:rsid w:val="00397FA8"/>
    <w:rsid w:val="003A19BB"/>
    <w:rsid w:val="003A3087"/>
    <w:rsid w:val="003A3477"/>
    <w:rsid w:val="003A3AE3"/>
    <w:rsid w:val="003A3B47"/>
    <w:rsid w:val="003A3BFF"/>
    <w:rsid w:val="003A5F12"/>
    <w:rsid w:val="003A6AA0"/>
    <w:rsid w:val="003B19C1"/>
    <w:rsid w:val="003B2002"/>
    <w:rsid w:val="003B2D30"/>
    <w:rsid w:val="003B2DC3"/>
    <w:rsid w:val="003B2E43"/>
    <w:rsid w:val="003B31BD"/>
    <w:rsid w:val="003B39CB"/>
    <w:rsid w:val="003B47D0"/>
    <w:rsid w:val="003B5391"/>
    <w:rsid w:val="003B65BA"/>
    <w:rsid w:val="003B6807"/>
    <w:rsid w:val="003B76C4"/>
    <w:rsid w:val="003B7E45"/>
    <w:rsid w:val="003C24D9"/>
    <w:rsid w:val="003C275B"/>
    <w:rsid w:val="003C29D1"/>
    <w:rsid w:val="003C46F2"/>
    <w:rsid w:val="003C5FD8"/>
    <w:rsid w:val="003C66B6"/>
    <w:rsid w:val="003C7F64"/>
    <w:rsid w:val="003D0CA9"/>
    <w:rsid w:val="003D0D4B"/>
    <w:rsid w:val="003D0F8B"/>
    <w:rsid w:val="003D1650"/>
    <w:rsid w:val="003D1FF1"/>
    <w:rsid w:val="003D2A56"/>
    <w:rsid w:val="003D3626"/>
    <w:rsid w:val="003D3653"/>
    <w:rsid w:val="003D5B43"/>
    <w:rsid w:val="003D7425"/>
    <w:rsid w:val="003D7BED"/>
    <w:rsid w:val="003E0832"/>
    <w:rsid w:val="003E0D0C"/>
    <w:rsid w:val="003E19DF"/>
    <w:rsid w:val="003E2071"/>
    <w:rsid w:val="003E5C59"/>
    <w:rsid w:val="003E7B9B"/>
    <w:rsid w:val="003F0702"/>
    <w:rsid w:val="003F170F"/>
    <w:rsid w:val="003F182D"/>
    <w:rsid w:val="003F2337"/>
    <w:rsid w:val="003F2C19"/>
    <w:rsid w:val="003F2FFE"/>
    <w:rsid w:val="003F3C66"/>
    <w:rsid w:val="003F5572"/>
    <w:rsid w:val="003F6839"/>
    <w:rsid w:val="003F7853"/>
    <w:rsid w:val="00400025"/>
    <w:rsid w:val="00401BF9"/>
    <w:rsid w:val="00402714"/>
    <w:rsid w:val="00403379"/>
    <w:rsid w:val="004038E8"/>
    <w:rsid w:val="00404B52"/>
    <w:rsid w:val="00405CEF"/>
    <w:rsid w:val="00405ECF"/>
    <w:rsid w:val="0040734C"/>
    <w:rsid w:val="00410690"/>
    <w:rsid w:val="004110EB"/>
    <w:rsid w:val="00411398"/>
    <w:rsid w:val="00412A84"/>
    <w:rsid w:val="004139EB"/>
    <w:rsid w:val="00415E34"/>
    <w:rsid w:val="004169DE"/>
    <w:rsid w:val="00416B25"/>
    <w:rsid w:val="0042086D"/>
    <w:rsid w:val="00420C58"/>
    <w:rsid w:val="0042173A"/>
    <w:rsid w:val="00421946"/>
    <w:rsid w:val="00422659"/>
    <w:rsid w:val="00422F2B"/>
    <w:rsid w:val="00424964"/>
    <w:rsid w:val="00425AFA"/>
    <w:rsid w:val="00425D86"/>
    <w:rsid w:val="004277AF"/>
    <w:rsid w:val="00430BDE"/>
    <w:rsid w:val="00431717"/>
    <w:rsid w:val="00432A61"/>
    <w:rsid w:val="0043471E"/>
    <w:rsid w:val="0043569A"/>
    <w:rsid w:val="0044231B"/>
    <w:rsid w:val="0044266E"/>
    <w:rsid w:val="00445B43"/>
    <w:rsid w:val="00446656"/>
    <w:rsid w:val="004479A4"/>
    <w:rsid w:val="00447CE1"/>
    <w:rsid w:val="00452B68"/>
    <w:rsid w:val="00453649"/>
    <w:rsid w:val="00455C9C"/>
    <w:rsid w:val="0045607C"/>
    <w:rsid w:val="00456377"/>
    <w:rsid w:val="00456890"/>
    <w:rsid w:val="004570FB"/>
    <w:rsid w:val="00457E19"/>
    <w:rsid w:val="004601E1"/>
    <w:rsid w:val="00460BA3"/>
    <w:rsid w:val="00460CE4"/>
    <w:rsid w:val="00460DCE"/>
    <w:rsid w:val="0046451A"/>
    <w:rsid w:val="00465476"/>
    <w:rsid w:val="004657BE"/>
    <w:rsid w:val="00466721"/>
    <w:rsid w:val="00466B5D"/>
    <w:rsid w:val="00467827"/>
    <w:rsid w:val="00470E83"/>
    <w:rsid w:val="00474577"/>
    <w:rsid w:val="004759F8"/>
    <w:rsid w:val="00476AB1"/>
    <w:rsid w:val="00477D8E"/>
    <w:rsid w:val="00477FD5"/>
    <w:rsid w:val="00480C34"/>
    <w:rsid w:val="004819E3"/>
    <w:rsid w:val="00481CA8"/>
    <w:rsid w:val="00481EAC"/>
    <w:rsid w:val="00482AD8"/>
    <w:rsid w:val="00482F5C"/>
    <w:rsid w:val="00483A9A"/>
    <w:rsid w:val="00484C03"/>
    <w:rsid w:val="00485347"/>
    <w:rsid w:val="00485A89"/>
    <w:rsid w:val="004869CF"/>
    <w:rsid w:val="00486A92"/>
    <w:rsid w:val="004934CA"/>
    <w:rsid w:val="00494885"/>
    <w:rsid w:val="004960A6"/>
    <w:rsid w:val="00497645"/>
    <w:rsid w:val="00497D04"/>
    <w:rsid w:val="004A0F39"/>
    <w:rsid w:val="004A135A"/>
    <w:rsid w:val="004A16B7"/>
    <w:rsid w:val="004A44C8"/>
    <w:rsid w:val="004A4E70"/>
    <w:rsid w:val="004A6288"/>
    <w:rsid w:val="004A7DD9"/>
    <w:rsid w:val="004B1515"/>
    <w:rsid w:val="004B1EB8"/>
    <w:rsid w:val="004B1FAD"/>
    <w:rsid w:val="004B3C49"/>
    <w:rsid w:val="004B3E7C"/>
    <w:rsid w:val="004B43E2"/>
    <w:rsid w:val="004C0260"/>
    <w:rsid w:val="004C035B"/>
    <w:rsid w:val="004C0B8C"/>
    <w:rsid w:val="004C0BAC"/>
    <w:rsid w:val="004C0C9C"/>
    <w:rsid w:val="004C2781"/>
    <w:rsid w:val="004C3C9D"/>
    <w:rsid w:val="004C4CAE"/>
    <w:rsid w:val="004C5092"/>
    <w:rsid w:val="004C57F8"/>
    <w:rsid w:val="004C5BF1"/>
    <w:rsid w:val="004C748C"/>
    <w:rsid w:val="004C7E26"/>
    <w:rsid w:val="004D069D"/>
    <w:rsid w:val="004D3FAC"/>
    <w:rsid w:val="004D4A3D"/>
    <w:rsid w:val="004D5276"/>
    <w:rsid w:val="004D5469"/>
    <w:rsid w:val="004D5B89"/>
    <w:rsid w:val="004D62A9"/>
    <w:rsid w:val="004E06B7"/>
    <w:rsid w:val="004E152E"/>
    <w:rsid w:val="004E23D8"/>
    <w:rsid w:val="004E2BB5"/>
    <w:rsid w:val="004E2F37"/>
    <w:rsid w:val="004E39AA"/>
    <w:rsid w:val="004E5AE7"/>
    <w:rsid w:val="004E6048"/>
    <w:rsid w:val="004E6647"/>
    <w:rsid w:val="004E6FB8"/>
    <w:rsid w:val="004F00CA"/>
    <w:rsid w:val="004F0C0F"/>
    <w:rsid w:val="004F0CB6"/>
    <w:rsid w:val="004F1014"/>
    <w:rsid w:val="004F12F4"/>
    <w:rsid w:val="004F3F82"/>
    <w:rsid w:val="004F7FCF"/>
    <w:rsid w:val="0050036D"/>
    <w:rsid w:val="00501D9E"/>
    <w:rsid w:val="0050294D"/>
    <w:rsid w:val="00506E9A"/>
    <w:rsid w:val="0050708C"/>
    <w:rsid w:val="00507F69"/>
    <w:rsid w:val="00510367"/>
    <w:rsid w:val="00511BAA"/>
    <w:rsid w:val="005128B0"/>
    <w:rsid w:val="00512B4E"/>
    <w:rsid w:val="005132CE"/>
    <w:rsid w:val="00513F62"/>
    <w:rsid w:val="00515B06"/>
    <w:rsid w:val="00516183"/>
    <w:rsid w:val="005164C9"/>
    <w:rsid w:val="005266AF"/>
    <w:rsid w:val="00526B59"/>
    <w:rsid w:val="00527BEF"/>
    <w:rsid w:val="00527CCA"/>
    <w:rsid w:val="00533B37"/>
    <w:rsid w:val="005350AD"/>
    <w:rsid w:val="00540BDD"/>
    <w:rsid w:val="00541002"/>
    <w:rsid w:val="005419C1"/>
    <w:rsid w:val="0054365F"/>
    <w:rsid w:val="005436DB"/>
    <w:rsid w:val="005440DA"/>
    <w:rsid w:val="005447DB"/>
    <w:rsid w:val="005514AC"/>
    <w:rsid w:val="00552605"/>
    <w:rsid w:val="0055469A"/>
    <w:rsid w:val="00554715"/>
    <w:rsid w:val="00554A1D"/>
    <w:rsid w:val="00555501"/>
    <w:rsid w:val="0055556A"/>
    <w:rsid w:val="005569D7"/>
    <w:rsid w:val="0055729F"/>
    <w:rsid w:val="00560D19"/>
    <w:rsid w:val="0056150E"/>
    <w:rsid w:val="00561A1C"/>
    <w:rsid w:val="00567AEA"/>
    <w:rsid w:val="00570C82"/>
    <w:rsid w:val="00572B22"/>
    <w:rsid w:val="00573FC0"/>
    <w:rsid w:val="00574105"/>
    <w:rsid w:val="00576C16"/>
    <w:rsid w:val="005779C2"/>
    <w:rsid w:val="00577C2E"/>
    <w:rsid w:val="00580131"/>
    <w:rsid w:val="0058058F"/>
    <w:rsid w:val="00580D7D"/>
    <w:rsid w:val="0058190A"/>
    <w:rsid w:val="005830A3"/>
    <w:rsid w:val="00585753"/>
    <w:rsid w:val="00586017"/>
    <w:rsid w:val="005860C7"/>
    <w:rsid w:val="005872E6"/>
    <w:rsid w:val="005900B4"/>
    <w:rsid w:val="00590232"/>
    <w:rsid w:val="005903B1"/>
    <w:rsid w:val="00590DA3"/>
    <w:rsid w:val="00591D12"/>
    <w:rsid w:val="00592124"/>
    <w:rsid w:val="005948B1"/>
    <w:rsid w:val="005948BA"/>
    <w:rsid w:val="00594E22"/>
    <w:rsid w:val="00597E82"/>
    <w:rsid w:val="005A0487"/>
    <w:rsid w:val="005A326C"/>
    <w:rsid w:val="005A3766"/>
    <w:rsid w:val="005A3B22"/>
    <w:rsid w:val="005A4D93"/>
    <w:rsid w:val="005A51C5"/>
    <w:rsid w:val="005A6A48"/>
    <w:rsid w:val="005A7555"/>
    <w:rsid w:val="005A77FD"/>
    <w:rsid w:val="005B0E95"/>
    <w:rsid w:val="005B11E3"/>
    <w:rsid w:val="005B4590"/>
    <w:rsid w:val="005B5650"/>
    <w:rsid w:val="005B5C91"/>
    <w:rsid w:val="005B5ECD"/>
    <w:rsid w:val="005B7941"/>
    <w:rsid w:val="005C1359"/>
    <w:rsid w:val="005C19ED"/>
    <w:rsid w:val="005C212B"/>
    <w:rsid w:val="005C224F"/>
    <w:rsid w:val="005C4A5F"/>
    <w:rsid w:val="005C4E80"/>
    <w:rsid w:val="005C52C0"/>
    <w:rsid w:val="005C7142"/>
    <w:rsid w:val="005D0593"/>
    <w:rsid w:val="005D6645"/>
    <w:rsid w:val="005D7D50"/>
    <w:rsid w:val="005D7E24"/>
    <w:rsid w:val="005E1586"/>
    <w:rsid w:val="005E2D78"/>
    <w:rsid w:val="005E36E8"/>
    <w:rsid w:val="005E4F1A"/>
    <w:rsid w:val="005E5CF9"/>
    <w:rsid w:val="005E6593"/>
    <w:rsid w:val="005E66E1"/>
    <w:rsid w:val="005F2F58"/>
    <w:rsid w:val="005F4783"/>
    <w:rsid w:val="005F5AFE"/>
    <w:rsid w:val="005F5F7E"/>
    <w:rsid w:val="005F676D"/>
    <w:rsid w:val="005F67AB"/>
    <w:rsid w:val="005F6A2C"/>
    <w:rsid w:val="00600A58"/>
    <w:rsid w:val="00601747"/>
    <w:rsid w:val="00601B82"/>
    <w:rsid w:val="00602036"/>
    <w:rsid w:val="006030CC"/>
    <w:rsid w:val="0060325F"/>
    <w:rsid w:val="00603553"/>
    <w:rsid w:val="00604B8D"/>
    <w:rsid w:val="006050A4"/>
    <w:rsid w:val="00605B08"/>
    <w:rsid w:val="006071BB"/>
    <w:rsid w:val="006126AD"/>
    <w:rsid w:val="00613616"/>
    <w:rsid w:val="0061403C"/>
    <w:rsid w:val="006169E4"/>
    <w:rsid w:val="00616BE8"/>
    <w:rsid w:val="00617DD0"/>
    <w:rsid w:val="006220F3"/>
    <w:rsid w:val="006228F6"/>
    <w:rsid w:val="00625A2B"/>
    <w:rsid w:val="006271EC"/>
    <w:rsid w:val="0062780E"/>
    <w:rsid w:val="006307F2"/>
    <w:rsid w:val="006320D2"/>
    <w:rsid w:val="00635C58"/>
    <w:rsid w:val="006364AE"/>
    <w:rsid w:val="006364D9"/>
    <w:rsid w:val="0063658C"/>
    <w:rsid w:val="0063755C"/>
    <w:rsid w:val="006408D5"/>
    <w:rsid w:val="00642392"/>
    <w:rsid w:val="006427A9"/>
    <w:rsid w:val="0064314C"/>
    <w:rsid w:val="0064464C"/>
    <w:rsid w:val="00645838"/>
    <w:rsid w:val="006459EC"/>
    <w:rsid w:val="00646DA2"/>
    <w:rsid w:val="00646F44"/>
    <w:rsid w:val="006501B9"/>
    <w:rsid w:val="00651E35"/>
    <w:rsid w:val="006535FC"/>
    <w:rsid w:val="00653CDB"/>
    <w:rsid w:val="006541B3"/>
    <w:rsid w:val="006544F7"/>
    <w:rsid w:val="0066046D"/>
    <w:rsid w:val="0066114A"/>
    <w:rsid w:val="00661177"/>
    <w:rsid w:val="006632CC"/>
    <w:rsid w:val="0066414F"/>
    <w:rsid w:val="00664174"/>
    <w:rsid w:val="006654F3"/>
    <w:rsid w:val="00666D9A"/>
    <w:rsid w:val="00666DF7"/>
    <w:rsid w:val="00667017"/>
    <w:rsid w:val="00674761"/>
    <w:rsid w:val="00676686"/>
    <w:rsid w:val="00676FDF"/>
    <w:rsid w:val="00680F57"/>
    <w:rsid w:val="00681529"/>
    <w:rsid w:val="006836C9"/>
    <w:rsid w:val="0068530C"/>
    <w:rsid w:val="0068730F"/>
    <w:rsid w:val="00690246"/>
    <w:rsid w:val="006926FA"/>
    <w:rsid w:val="0069665F"/>
    <w:rsid w:val="006A06C7"/>
    <w:rsid w:val="006A22F3"/>
    <w:rsid w:val="006A63CF"/>
    <w:rsid w:val="006A7D9D"/>
    <w:rsid w:val="006B0691"/>
    <w:rsid w:val="006B5152"/>
    <w:rsid w:val="006B530F"/>
    <w:rsid w:val="006B5555"/>
    <w:rsid w:val="006B5594"/>
    <w:rsid w:val="006B5E35"/>
    <w:rsid w:val="006B7147"/>
    <w:rsid w:val="006B790A"/>
    <w:rsid w:val="006C074F"/>
    <w:rsid w:val="006C21AF"/>
    <w:rsid w:val="006C2B35"/>
    <w:rsid w:val="006C2F30"/>
    <w:rsid w:val="006C3D08"/>
    <w:rsid w:val="006C47A1"/>
    <w:rsid w:val="006C5714"/>
    <w:rsid w:val="006C71D4"/>
    <w:rsid w:val="006D149F"/>
    <w:rsid w:val="006D1DDB"/>
    <w:rsid w:val="006D219A"/>
    <w:rsid w:val="006D2951"/>
    <w:rsid w:val="006D3554"/>
    <w:rsid w:val="006D4122"/>
    <w:rsid w:val="006D4BF5"/>
    <w:rsid w:val="006D59D1"/>
    <w:rsid w:val="006D73C0"/>
    <w:rsid w:val="006D747C"/>
    <w:rsid w:val="006D7672"/>
    <w:rsid w:val="006E0EEB"/>
    <w:rsid w:val="006E2E0E"/>
    <w:rsid w:val="006E373A"/>
    <w:rsid w:val="006E6F40"/>
    <w:rsid w:val="006F0768"/>
    <w:rsid w:val="006F434E"/>
    <w:rsid w:val="00700662"/>
    <w:rsid w:val="00703AEB"/>
    <w:rsid w:val="00703D43"/>
    <w:rsid w:val="0070505A"/>
    <w:rsid w:val="00713565"/>
    <w:rsid w:val="00713B46"/>
    <w:rsid w:val="00716293"/>
    <w:rsid w:val="007170D4"/>
    <w:rsid w:val="00717FBE"/>
    <w:rsid w:val="007210BC"/>
    <w:rsid w:val="0072280F"/>
    <w:rsid w:val="00722BB8"/>
    <w:rsid w:val="00726652"/>
    <w:rsid w:val="00730050"/>
    <w:rsid w:val="007304A0"/>
    <w:rsid w:val="0073157A"/>
    <w:rsid w:val="00732AB9"/>
    <w:rsid w:val="00736342"/>
    <w:rsid w:val="00737573"/>
    <w:rsid w:val="0074219E"/>
    <w:rsid w:val="00742F7F"/>
    <w:rsid w:val="007445AB"/>
    <w:rsid w:val="0074637C"/>
    <w:rsid w:val="0074691E"/>
    <w:rsid w:val="007473EF"/>
    <w:rsid w:val="00750547"/>
    <w:rsid w:val="00750BF0"/>
    <w:rsid w:val="007513D1"/>
    <w:rsid w:val="007513E6"/>
    <w:rsid w:val="00752B0D"/>
    <w:rsid w:val="0075396C"/>
    <w:rsid w:val="007546A6"/>
    <w:rsid w:val="007546E0"/>
    <w:rsid w:val="007561F6"/>
    <w:rsid w:val="00757D5E"/>
    <w:rsid w:val="00761124"/>
    <w:rsid w:val="00763182"/>
    <w:rsid w:val="00763682"/>
    <w:rsid w:val="00763B6B"/>
    <w:rsid w:val="00765866"/>
    <w:rsid w:val="007668D5"/>
    <w:rsid w:val="00767044"/>
    <w:rsid w:val="00767437"/>
    <w:rsid w:val="00767582"/>
    <w:rsid w:val="00770E3C"/>
    <w:rsid w:val="00771336"/>
    <w:rsid w:val="00771960"/>
    <w:rsid w:val="00771B09"/>
    <w:rsid w:val="00771F68"/>
    <w:rsid w:val="0077289D"/>
    <w:rsid w:val="00773FEB"/>
    <w:rsid w:val="007742CB"/>
    <w:rsid w:val="00774922"/>
    <w:rsid w:val="007800D1"/>
    <w:rsid w:val="00783031"/>
    <w:rsid w:val="007832FF"/>
    <w:rsid w:val="00784174"/>
    <w:rsid w:val="007910A1"/>
    <w:rsid w:val="0079234B"/>
    <w:rsid w:val="00793B58"/>
    <w:rsid w:val="007952CE"/>
    <w:rsid w:val="007953E7"/>
    <w:rsid w:val="0079595A"/>
    <w:rsid w:val="007967A1"/>
    <w:rsid w:val="00796C17"/>
    <w:rsid w:val="007A0EC9"/>
    <w:rsid w:val="007A1A71"/>
    <w:rsid w:val="007A3568"/>
    <w:rsid w:val="007A43BB"/>
    <w:rsid w:val="007A5FCA"/>
    <w:rsid w:val="007A73AC"/>
    <w:rsid w:val="007A7950"/>
    <w:rsid w:val="007B065C"/>
    <w:rsid w:val="007B3772"/>
    <w:rsid w:val="007B62DD"/>
    <w:rsid w:val="007C0665"/>
    <w:rsid w:val="007C0CDB"/>
    <w:rsid w:val="007C1EC8"/>
    <w:rsid w:val="007C4922"/>
    <w:rsid w:val="007C5622"/>
    <w:rsid w:val="007C6476"/>
    <w:rsid w:val="007D0618"/>
    <w:rsid w:val="007D24AA"/>
    <w:rsid w:val="007D3A53"/>
    <w:rsid w:val="007D4D4B"/>
    <w:rsid w:val="007D762C"/>
    <w:rsid w:val="007D77F5"/>
    <w:rsid w:val="007E0129"/>
    <w:rsid w:val="007E264D"/>
    <w:rsid w:val="007E29A4"/>
    <w:rsid w:val="007E30C2"/>
    <w:rsid w:val="007E521F"/>
    <w:rsid w:val="007E6007"/>
    <w:rsid w:val="007E640A"/>
    <w:rsid w:val="007E7B4C"/>
    <w:rsid w:val="007E7CB9"/>
    <w:rsid w:val="007E7CF1"/>
    <w:rsid w:val="007F31A3"/>
    <w:rsid w:val="007F382B"/>
    <w:rsid w:val="007F4165"/>
    <w:rsid w:val="007F4BC7"/>
    <w:rsid w:val="007F4DC0"/>
    <w:rsid w:val="007F5B39"/>
    <w:rsid w:val="007F634A"/>
    <w:rsid w:val="007F74D1"/>
    <w:rsid w:val="007F7D19"/>
    <w:rsid w:val="0080108F"/>
    <w:rsid w:val="008039AA"/>
    <w:rsid w:val="0080557D"/>
    <w:rsid w:val="00805E50"/>
    <w:rsid w:val="0080791C"/>
    <w:rsid w:val="0081023F"/>
    <w:rsid w:val="008113E1"/>
    <w:rsid w:val="00812666"/>
    <w:rsid w:val="008168EE"/>
    <w:rsid w:val="00816DDA"/>
    <w:rsid w:val="00816F0F"/>
    <w:rsid w:val="00823440"/>
    <w:rsid w:val="008252CA"/>
    <w:rsid w:val="0082664B"/>
    <w:rsid w:val="00827089"/>
    <w:rsid w:val="0082763B"/>
    <w:rsid w:val="00833047"/>
    <w:rsid w:val="008337B5"/>
    <w:rsid w:val="00833B2D"/>
    <w:rsid w:val="00835A8C"/>
    <w:rsid w:val="00837640"/>
    <w:rsid w:val="00837665"/>
    <w:rsid w:val="0084095D"/>
    <w:rsid w:val="00840B94"/>
    <w:rsid w:val="00842CBD"/>
    <w:rsid w:val="008436D8"/>
    <w:rsid w:val="0084493B"/>
    <w:rsid w:val="00847450"/>
    <w:rsid w:val="008502C7"/>
    <w:rsid w:val="00850EF3"/>
    <w:rsid w:val="00852BCD"/>
    <w:rsid w:val="00853D53"/>
    <w:rsid w:val="008544B9"/>
    <w:rsid w:val="008545DB"/>
    <w:rsid w:val="008561C4"/>
    <w:rsid w:val="00860076"/>
    <w:rsid w:val="00860DFB"/>
    <w:rsid w:val="00861175"/>
    <w:rsid w:val="00861310"/>
    <w:rsid w:val="00861A17"/>
    <w:rsid w:val="00861BCB"/>
    <w:rsid w:val="0086218C"/>
    <w:rsid w:val="00862390"/>
    <w:rsid w:val="008624FA"/>
    <w:rsid w:val="00862771"/>
    <w:rsid w:val="00864100"/>
    <w:rsid w:val="008644D5"/>
    <w:rsid w:val="00864CDB"/>
    <w:rsid w:val="00864FFA"/>
    <w:rsid w:val="008653DE"/>
    <w:rsid w:val="008676E1"/>
    <w:rsid w:val="00871063"/>
    <w:rsid w:val="008717A4"/>
    <w:rsid w:val="0087194A"/>
    <w:rsid w:val="00871B84"/>
    <w:rsid w:val="00871BF6"/>
    <w:rsid w:val="00871F0C"/>
    <w:rsid w:val="00873DD2"/>
    <w:rsid w:val="00873E2D"/>
    <w:rsid w:val="008743A7"/>
    <w:rsid w:val="00874EE6"/>
    <w:rsid w:val="008753FC"/>
    <w:rsid w:val="00875EBF"/>
    <w:rsid w:val="00881512"/>
    <w:rsid w:val="0088189B"/>
    <w:rsid w:val="008825A5"/>
    <w:rsid w:val="00882DD3"/>
    <w:rsid w:val="00883D2B"/>
    <w:rsid w:val="008848A5"/>
    <w:rsid w:val="0088535B"/>
    <w:rsid w:val="00886B8E"/>
    <w:rsid w:val="008923C1"/>
    <w:rsid w:val="00895788"/>
    <w:rsid w:val="00896F83"/>
    <w:rsid w:val="008A07B0"/>
    <w:rsid w:val="008A4437"/>
    <w:rsid w:val="008A508C"/>
    <w:rsid w:val="008B18ED"/>
    <w:rsid w:val="008B191F"/>
    <w:rsid w:val="008B23A9"/>
    <w:rsid w:val="008B4853"/>
    <w:rsid w:val="008C0911"/>
    <w:rsid w:val="008C09A5"/>
    <w:rsid w:val="008C1532"/>
    <w:rsid w:val="008C2442"/>
    <w:rsid w:val="008C2705"/>
    <w:rsid w:val="008C38B9"/>
    <w:rsid w:val="008C4B7E"/>
    <w:rsid w:val="008C4E07"/>
    <w:rsid w:val="008C5430"/>
    <w:rsid w:val="008C7BA4"/>
    <w:rsid w:val="008D14B5"/>
    <w:rsid w:val="008D292F"/>
    <w:rsid w:val="008D29BF"/>
    <w:rsid w:val="008D31C5"/>
    <w:rsid w:val="008D4298"/>
    <w:rsid w:val="008D605A"/>
    <w:rsid w:val="008E0361"/>
    <w:rsid w:val="008E0687"/>
    <w:rsid w:val="008E09F6"/>
    <w:rsid w:val="008E11C4"/>
    <w:rsid w:val="008E19BD"/>
    <w:rsid w:val="008E1BC5"/>
    <w:rsid w:val="008E1F3B"/>
    <w:rsid w:val="008E200C"/>
    <w:rsid w:val="008E300B"/>
    <w:rsid w:val="008E3472"/>
    <w:rsid w:val="008E4484"/>
    <w:rsid w:val="008E4D31"/>
    <w:rsid w:val="008E5665"/>
    <w:rsid w:val="008E6679"/>
    <w:rsid w:val="008E6CCF"/>
    <w:rsid w:val="008E7325"/>
    <w:rsid w:val="008E75C6"/>
    <w:rsid w:val="008F194E"/>
    <w:rsid w:val="008F1D33"/>
    <w:rsid w:val="008F2EE3"/>
    <w:rsid w:val="008F4053"/>
    <w:rsid w:val="008F62A8"/>
    <w:rsid w:val="008F7DCC"/>
    <w:rsid w:val="00900447"/>
    <w:rsid w:val="00901FCC"/>
    <w:rsid w:val="00902B0E"/>
    <w:rsid w:val="00902C95"/>
    <w:rsid w:val="00902ECA"/>
    <w:rsid w:val="00903214"/>
    <w:rsid w:val="009034FD"/>
    <w:rsid w:val="00905575"/>
    <w:rsid w:val="0090636C"/>
    <w:rsid w:val="009073A5"/>
    <w:rsid w:val="009077A0"/>
    <w:rsid w:val="00910DD4"/>
    <w:rsid w:val="009117C5"/>
    <w:rsid w:val="009128B5"/>
    <w:rsid w:val="00913719"/>
    <w:rsid w:val="0091435F"/>
    <w:rsid w:val="009164CB"/>
    <w:rsid w:val="009176E6"/>
    <w:rsid w:val="009202F3"/>
    <w:rsid w:val="00920312"/>
    <w:rsid w:val="0092201B"/>
    <w:rsid w:val="00922F08"/>
    <w:rsid w:val="009231A1"/>
    <w:rsid w:val="00924A62"/>
    <w:rsid w:val="0092536E"/>
    <w:rsid w:val="00925FCB"/>
    <w:rsid w:val="00931F75"/>
    <w:rsid w:val="00932198"/>
    <w:rsid w:val="00932976"/>
    <w:rsid w:val="00933CBF"/>
    <w:rsid w:val="009342AA"/>
    <w:rsid w:val="009404D6"/>
    <w:rsid w:val="00940CCF"/>
    <w:rsid w:val="009416AA"/>
    <w:rsid w:val="00941970"/>
    <w:rsid w:val="00941AC3"/>
    <w:rsid w:val="0094203B"/>
    <w:rsid w:val="00942459"/>
    <w:rsid w:val="0094397C"/>
    <w:rsid w:val="00943B30"/>
    <w:rsid w:val="00945D5A"/>
    <w:rsid w:val="00947064"/>
    <w:rsid w:val="009472C4"/>
    <w:rsid w:val="009473DA"/>
    <w:rsid w:val="00950D33"/>
    <w:rsid w:val="00951011"/>
    <w:rsid w:val="00952085"/>
    <w:rsid w:val="00952AAB"/>
    <w:rsid w:val="009537EB"/>
    <w:rsid w:val="009546A2"/>
    <w:rsid w:val="009551B7"/>
    <w:rsid w:val="00961CF5"/>
    <w:rsid w:val="00962A99"/>
    <w:rsid w:val="00962B98"/>
    <w:rsid w:val="00962F41"/>
    <w:rsid w:val="00964BE6"/>
    <w:rsid w:val="00970A70"/>
    <w:rsid w:val="00970AE5"/>
    <w:rsid w:val="00971903"/>
    <w:rsid w:val="009719D0"/>
    <w:rsid w:val="009721E8"/>
    <w:rsid w:val="00972706"/>
    <w:rsid w:val="00975571"/>
    <w:rsid w:val="00975D64"/>
    <w:rsid w:val="009768EC"/>
    <w:rsid w:val="00976EE4"/>
    <w:rsid w:val="009770E9"/>
    <w:rsid w:val="0097786A"/>
    <w:rsid w:val="009807E1"/>
    <w:rsid w:val="009825E2"/>
    <w:rsid w:val="009842C8"/>
    <w:rsid w:val="0098540C"/>
    <w:rsid w:val="009856FA"/>
    <w:rsid w:val="009863C4"/>
    <w:rsid w:val="00987787"/>
    <w:rsid w:val="00987C72"/>
    <w:rsid w:val="00990518"/>
    <w:rsid w:val="00990587"/>
    <w:rsid w:val="00991118"/>
    <w:rsid w:val="009913AD"/>
    <w:rsid w:val="00993C15"/>
    <w:rsid w:val="00997939"/>
    <w:rsid w:val="009A0CDB"/>
    <w:rsid w:val="009A0F63"/>
    <w:rsid w:val="009A2300"/>
    <w:rsid w:val="009A25EC"/>
    <w:rsid w:val="009A2AD5"/>
    <w:rsid w:val="009A3359"/>
    <w:rsid w:val="009A433B"/>
    <w:rsid w:val="009A4F51"/>
    <w:rsid w:val="009A61C7"/>
    <w:rsid w:val="009A6F22"/>
    <w:rsid w:val="009B1C0A"/>
    <w:rsid w:val="009B21D1"/>
    <w:rsid w:val="009B21FF"/>
    <w:rsid w:val="009B3ED3"/>
    <w:rsid w:val="009B4840"/>
    <w:rsid w:val="009B4E8F"/>
    <w:rsid w:val="009B54C4"/>
    <w:rsid w:val="009B6DC6"/>
    <w:rsid w:val="009B7F51"/>
    <w:rsid w:val="009C0B8C"/>
    <w:rsid w:val="009C151C"/>
    <w:rsid w:val="009C3C0E"/>
    <w:rsid w:val="009C4B5D"/>
    <w:rsid w:val="009C5104"/>
    <w:rsid w:val="009C5D6A"/>
    <w:rsid w:val="009C72BC"/>
    <w:rsid w:val="009D001D"/>
    <w:rsid w:val="009D43D1"/>
    <w:rsid w:val="009D57CA"/>
    <w:rsid w:val="009D62EB"/>
    <w:rsid w:val="009D62FA"/>
    <w:rsid w:val="009D76C7"/>
    <w:rsid w:val="009E2A41"/>
    <w:rsid w:val="009E2D52"/>
    <w:rsid w:val="009F447F"/>
    <w:rsid w:val="009F489C"/>
    <w:rsid w:val="009F52A6"/>
    <w:rsid w:val="009F53AD"/>
    <w:rsid w:val="009F5AB7"/>
    <w:rsid w:val="009F794A"/>
    <w:rsid w:val="009F7FA8"/>
    <w:rsid w:val="00A014AC"/>
    <w:rsid w:val="00A018F3"/>
    <w:rsid w:val="00A02E88"/>
    <w:rsid w:val="00A03247"/>
    <w:rsid w:val="00A057E9"/>
    <w:rsid w:val="00A06A08"/>
    <w:rsid w:val="00A0775B"/>
    <w:rsid w:val="00A1089A"/>
    <w:rsid w:val="00A10F50"/>
    <w:rsid w:val="00A11480"/>
    <w:rsid w:val="00A12E09"/>
    <w:rsid w:val="00A12F71"/>
    <w:rsid w:val="00A136DF"/>
    <w:rsid w:val="00A168DE"/>
    <w:rsid w:val="00A17D96"/>
    <w:rsid w:val="00A21315"/>
    <w:rsid w:val="00A2154E"/>
    <w:rsid w:val="00A2227B"/>
    <w:rsid w:val="00A24ADB"/>
    <w:rsid w:val="00A27038"/>
    <w:rsid w:val="00A2705C"/>
    <w:rsid w:val="00A3051F"/>
    <w:rsid w:val="00A30E69"/>
    <w:rsid w:val="00A31629"/>
    <w:rsid w:val="00A350BB"/>
    <w:rsid w:val="00A371ED"/>
    <w:rsid w:val="00A373E1"/>
    <w:rsid w:val="00A406A1"/>
    <w:rsid w:val="00A407AC"/>
    <w:rsid w:val="00A412CC"/>
    <w:rsid w:val="00A428EC"/>
    <w:rsid w:val="00A44D92"/>
    <w:rsid w:val="00A4676C"/>
    <w:rsid w:val="00A47920"/>
    <w:rsid w:val="00A5030B"/>
    <w:rsid w:val="00A51020"/>
    <w:rsid w:val="00A51521"/>
    <w:rsid w:val="00A52926"/>
    <w:rsid w:val="00A55345"/>
    <w:rsid w:val="00A5725A"/>
    <w:rsid w:val="00A6010A"/>
    <w:rsid w:val="00A6283F"/>
    <w:rsid w:val="00A62B7D"/>
    <w:rsid w:val="00A67184"/>
    <w:rsid w:val="00A67427"/>
    <w:rsid w:val="00A7134D"/>
    <w:rsid w:val="00A71EE9"/>
    <w:rsid w:val="00A71F1B"/>
    <w:rsid w:val="00A722E5"/>
    <w:rsid w:val="00A73501"/>
    <w:rsid w:val="00A76F66"/>
    <w:rsid w:val="00A77D0C"/>
    <w:rsid w:val="00A811E1"/>
    <w:rsid w:val="00A81424"/>
    <w:rsid w:val="00A83D33"/>
    <w:rsid w:val="00A861D0"/>
    <w:rsid w:val="00A905F2"/>
    <w:rsid w:val="00A92BC0"/>
    <w:rsid w:val="00A92C4A"/>
    <w:rsid w:val="00A93F74"/>
    <w:rsid w:val="00A969FC"/>
    <w:rsid w:val="00A97692"/>
    <w:rsid w:val="00A97A3D"/>
    <w:rsid w:val="00AA48E1"/>
    <w:rsid w:val="00AA659F"/>
    <w:rsid w:val="00AB001A"/>
    <w:rsid w:val="00AB0DE1"/>
    <w:rsid w:val="00AB1911"/>
    <w:rsid w:val="00AB1C6E"/>
    <w:rsid w:val="00AB3A16"/>
    <w:rsid w:val="00AB58FB"/>
    <w:rsid w:val="00AB69E1"/>
    <w:rsid w:val="00AB6CE6"/>
    <w:rsid w:val="00AC08E2"/>
    <w:rsid w:val="00AC10F2"/>
    <w:rsid w:val="00AC2172"/>
    <w:rsid w:val="00AC3569"/>
    <w:rsid w:val="00AC4933"/>
    <w:rsid w:val="00AD0846"/>
    <w:rsid w:val="00AD2AC9"/>
    <w:rsid w:val="00AD4EC4"/>
    <w:rsid w:val="00AD5431"/>
    <w:rsid w:val="00AD5B6A"/>
    <w:rsid w:val="00AD6F4D"/>
    <w:rsid w:val="00AD75A9"/>
    <w:rsid w:val="00AE0D49"/>
    <w:rsid w:val="00AE1A9B"/>
    <w:rsid w:val="00AE260C"/>
    <w:rsid w:val="00AE37AF"/>
    <w:rsid w:val="00AE4520"/>
    <w:rsid w:val="00AE5698"/>
    <w:rsid w:val="00AE7CB1"/>
    <w:rsid w:val="00AF0F77"/>
    <w:rsid w:val="00AF2A90"/>
    <w:rsid w:val="00AF410F"/>
    <w:rsid w:val="00AF5498"/>
    <w:rsid w:val="00AF5BEC"/>
    <w:rsid w:val="00AF6E5B"/>
    <w:rsid w:val="00B00382"/>
    <w:rsid w:val="00B00BBE"/>
    <w:rsid w:val="00B01B25"/>
    <w:rsid w:val="00B02E97"/>
    <w:rsid w:val="00B0467D"/>
    <w:rsid w:val="00B04E4B"/>
    <w:rsid w:val="00B04E5E"/>
    <w:rsid w:val="00B0710D"/>
    <w:rsid w:val="00B076F7"/>
    <w:rsid w:val="00B118D6"/>
    <w:rsid w:val="00B120B7"/>
    <w:rsid w:val="00B1274F"/>
    <w:rsid w:val="00B128E7"/>
    <w:rsid w:val="00B1305D"/>
    <w:rsid w:val="00B158DA"/>
    <w:rsid w:val="00B165C5"/>
    <w:rsid w:val="00B16BD4"/>
    <w:rsid w:val="00B2166D"/>
    <w:rsid w:val="00B228D6"/>
    <w:rsid w:val="00B22F01"/>
    <w:rsid w:val="00B23ADD"/>
    <w:rsid w:val="00B246B4"/>
    <w:rsid w:val="00B25DA9"/>
    <w:rsid w:val="00B27CD5"/>
    <w:rsid w:val="00B312C3"/>
    <w:rsid w:val="00B31580"/>
    <w:rsid w:val="00B34553"/>
    <w:rsid w:val="00B42CB0"/>
    <w:rsid w:val="00B431FA"/>
    <w:rsid w:val="00B4400C"/>
    <w:rsid w:val="00B441CF"/>
    <w:rsid w:val="00B45753"/>
    <w:rsid w:val="00B50178"/>
    <w:rsid w:val="00B50872"/>
    <w:rsid w:val="00B5190C"/>
    <w:rsid w:val="00B5467B"/>
    <w:rsid w:val="00B5546E"/>
    <w:rsid w:val="00B565A4"/>
    <w:rsid w:val="00B60182"/>
    <w:rsid w:val="00B6044A"/>
    <w:rsid w:val="00B622D1"/>
    <w:rsid w:val="00B63356"/>
    <w:rsid w:val="00B639D0"/>
    <w:rsid w:val="00B63DEA"/>
    <w:rsid w:val="00B64C09"/>
    <w:rsid w:val="00B66DED"/>
    <w:rsid w:val="00B70E8C"/>
    <w:rsid w:val="00B72BE9"/>
    <w:rsid w:val="00B734FA"/>
    <w:rsid w:val="00B74F7A"/>
    <w:rsid w:val="00B75AD2"/>
    <w:rsid w:val="00B76FDB"/>
    <w:rsid w:val="00B81BE8"/>
    <w:rsid w:val="00B8212B"/>
    <w:rsid w:val="00B82D8D"/>
    <w:rsid w:val="00B8428E"/>
    <w:rsid w:val="00B842A3"/>
    <w:rsid w:val="00B844F4"/>
    <w:rsid w:val="00B84D09"/>
    <w:rsid w:val="00B8542E"/>
    <w:rsid w:val="00B85539"/>
    <w:rsid w:val="00B86267"/>
    <w:rsid w:val="00B86826"/>
    <w:rsid w:val="00B873D9"/>
    <w:rsid w:val="00B87B75"/>
    <w:rsid w:val="00B87F94"/>
    <w:rsid w:val="00B9086C"/>
    <w:rsid w:val="00B919AC"/>
    <w:rsid w:val="00B93378"/>
    <w:rsid w:val="00B94331"/>
    <w:rsid w:val="00B94AB7"/>
    <w:rsid w:val="00B94CA2"/>
    <w:rsid w:val="00B95C96"/>
    <w:rsid w:val="00B95D8B"/>
    <w:rsid w:val="00B96080"/>
    <w:rsid w:val="00B9612C"/>
    <w:rsid w:val="00BA3215"/>
    <w:rsid w:val="00BA4016"/>
    <w:rsid w:val="00BA4ED1"/>
    <w:rsid w:val="00BA522E"/>
    <w:rsid w:val="00BA56B6"/>
    <w:rsid w:val="00BA57B2"/>
    <w:rsid w:val="00BA6FE3"/>
    <w:rsid w:val="00BB0D40"/>
    <w:rsid w:val="00BB27B6"/>
    <w:rsid w:val="00BB31AD"/>
    <w:rsid w:val="00BB57D0"/>
    <w:rsid w:val="00BB77E5"/>
    <w:rsid w:val="00BC061D"/>
    <w:rsid w:val="00BC331E"/>
    <w:rsid w:val="00BC46CE"/>
    <w:rsid w:val="00BC4A35"/>
    <w:rsid w:val="00BC533D"/>
    <w:rsid w:val="00BC5936"/>
    <w:rsid w:val="00BC5FC6"/>
    <w:rsid w:val="00BC6B83"/>
    <w:rsid w:val="00BC74BB"/>
    <w:rsid w:val="00BC7897"/>
    <w:rsid w:val="00BD1F5E"/>
    <w:rsid w:val="00BD1FB6"/>
    <w:rsid w:val="00BD29CD"/>
    <w:rsid w:val="00BD29E2"/>
    <w:rsid w:val="00BD311E"/>
    <w:rsid w:val="00BD3216"/>
    <w:rsid w:val="00BD3569"/>
    <w:rsid w:val="00BD59FD"/>
    <w:rsid w:val="00BD5F01"/>
    <w:rsid w:val="00BD7FF2"/>
    <w:rsid w:val="00BE0681"/>
    <w:rsid w:val="00BE20C2"/>
    <w:rsid w:val="00BE21E6"/>
    <w:rsid w:val="00BE4AE1"/>
    <w:rsid w:val="00BE51C8"/>
    <w:rsid w:val="00BE53B3"/>
    <w:rsid w:val="00BE6BF3"/>
    <w:rsid w:val="00BE7ED1"/>
    <w:rsid w:val="00BF11CD"/>
    <w:rsid w:val="00BF5990"/>
    <w:rsid w:val="00BF59D0"/>
    <w:rsid w:val="00C002A1"/>
    <w:rsid w:val="00C01B17"/>
    <w:rsid w:val="00C01BCA"/>
    <w:rsid w:val="00C0218E"/>
    <w:rsid w:val="00C02258"/>
    <w:rsid w:val="00C0318B"/>
    <w:rsid w:val="00C03542"/>
    <w:rsid w:val="00C03C13"/>
    <w:rsid w:val="00C048CA"/>
    <w:rsid w:val="00C048F1"/>
    <w:rsid w:val="00C056DA"/>
    <w:rsid w:val="00C06402"/>
    <w:rsid w:val="00C075E2"/>
    <w:rsid w:val="00C11F22"/>
    <w:rsid w:val="00C13600"/>
    <w:rsid w:val="00C136A7"/>
    <w:rsid w:val="00C13B6B"/>
    <w:rsid w:val="00C14864"/>
    <w:rsid w:val="00C17AAB"/>
    <w:rsid w:val="00C21C0A"/>
    <w:rsid w:val="00C24BF2"/>
    <w:rsid w:val="00C26796"/>
    <w:rsid w:val="00C30DA8"/>
    <w:rsid w:val="00C318F6"/>
    <w:rsid w:val="00C322E0"/>
    <w:rsid w:val="00C3322E"/>
    <w:rsid w:val="00C333B6"/>
    <w:rsid w:val="00C346C8"/>
    <w:rsid w:val="00C365E3"/>
    <w:rsid w:val="00C36B8D"/>
    <w:rsid w:val="00C37616"/>
    <w:rsid w:val="00C37B59"/>
    <w:rsid w:val="00C41312"/>
    <w:rsid w:val="00C43411"/>
    <w:rsid w:val="00C444CF"/>
    <w:rsid w:val="00C4493B"/>
    <w:rsid w:val="00C450AB"/>
    <w:rsid w:val="00C45946"/>
    <w:rsid w:val="00C45EB8"/>
    <w:rsid w:val="00C503D8"/>
    <w:rsid w:val="00C50C85"/>
    <w:rsid w:val="00C5127A"/>
    <w:rsid w:val="00C51302"/>
    <w:rsid w:val="00C54D7F"/>
    <w:rsid w:val="00C6139F"/>
    <w:rsid w:val="00C61925"/>
    <w:rsid w:val="00C62359"/>
    <w:rsid w:val="00C62575"/>
    <w:rsid w:val="00C625A8"/>
    <w:rsid w:val="00C6270C"/>
    <w:rsid w:val="00C6510B"/>
    <w:rsid w:val="00C65D00"/>
    <w:rsid w:val="00C67555"/>
    <w:rsid w:val="00C67CD4"/>
    <w:rsid w:val="00C7019D"/>
    <w:rsid w:val="00C70CCC"/>
    <w:rsid w:val="00C71448"/>
    <w:rsid w:val="00C7169A"/>
    <w:rsid w:val="00C716BC"/>
    <w:rsid w:val="00C720B7"/>
    <w:rsid w:val="00C73076"/>
    <w:rsid w:val="00C73350"/>
    <w:rsid w:val="00C7349B"/>
    <w:rsid w:val="00C75001"/>
    <w:rsid w:val="00C76689"/>
    <w:rsid w:val="00C806F6"/>
    <w:rsid w:val="00C80CA3"/>
    <w:rsid w:val="00C821C4"/>
    <w:rsid w:val="00C83C71"/>
    <w:rsid w:val="00C83CA0"/>
    <w:rsid w:val="00C83D4B"/>
    <w:rsid w:val="00C83FFB"/>
    <w:rsid w:val="00C845E6"/>
    <w:rsid w:val="00C86F0C"/>
    <w:rsid w:val="00C870FC"/>
    <w:rsid w:val="00C90353"/>
    <w:rsid w:val="00C90415"/>
    <w:rsid w:val="00C90DB8"/>
    <w:rsid w:val="00C90EB0"/>
    <w:rsid w:val="00C91AFA"/>
    <w:rsid w:val="00C9266B"/>
    <w:rsid w:val="00C927DC"/>
    <w:rsid w:val="00C96512"/>
    <w:rsid w:val="00C96D53"/>
    <w:rsid w:val="00C97B2B"/>
    <w:rsid w:val="00CA2910"/>
    <w:rsid w:val="00CA3D0D"/>
    <w:rsid w:val="00CA570B"/>
    <w:rsid w:val="00CA59DE"/>
    <w:rsid w:val="00CA63C9"/>
    <w:rsid w:val="00CA6CCE"/>
    <w:rsid w:val="00CA7460"/>
    <w:rsid w:val="00CA7779"/>
    <w:rsid w:val="00CA7E07"/>
    <w:rsid w:val="00CB48CA"/>
    <w:rsid w:val="00CB4FB3"/>
    <w:rsid w:val="00CB5308"/>
    <w:rsid w:val="00CB5D58"/>
    <w:rsid w:val="00CB7A9E"/>
    <w:rsid w:val="00CC145A"/>
    <w:rsid w:val="00CC27AA"/>
    <w:rsid w:val="00CC409B"/>
    <w:rsid w:val="00CC45BE"/>
    <w:rsid w:val="00CC4A04"/>
    <w:rsid w:val="00CC4AAC"/>
    <w:rsid w:val="00CC5718"/>
    <w:rsid w:val="00CC578F"/>
    <w:rsid w:val="00CC7177"/>
    <w:rsid w:val="00CC7804"/>
    <w:rsid w:val="00CD10FF"/>
    <w:rsid w:val="00CD132D"/>
    <w:rsid w:val="00CD253C"/>
    <w:rsid w:val="00CD28B9"/>
    <w:rsid w:val="00CD2E08"/>
    <w:rsid w:val="00CD4C8B"/>
    <w:rsid w:val="00CD7067"/>
    <w:rsid w:val="00CD7DCD"/>
    <w:rsid w:val="00CE035F"/>
    <w:rsid w:val="00CE2013"/>
    <w:rsid w:val="00CE220C"/>
    <w:rsid w:val="00CE254F"/>
    <w:rsid w:val="00CE32FB"/>
    <w:rsid w:val="00CE3DF2"/>
    <w:rsid w:val="00CE4032"/>
    <w:rsid w:val="00CE5C9F"/>
    <w:rsid w:val="00CE5CA8"/>
    <w:rsid w:val="00CE6B15"/>
    <w:rsid w:val="00CF171D"/>
    <w:rsid w:val="00CF1989"/>
    <w:rsid w:val="00CF34A5"/>
    <w:rsid w:val="00CF4921"/>
    <w:rsid w:val="00CF6AEA"/>
    <w:rsid w:val="00D02234"/>
    <w:rsid w:val="00D03B66"/>
    <w:rsid w:val="00D05447"/>
    <w:rsid w:val="00D11F19"/>
    <w:rsid w:val="00D123C5"/>
    <w:rsid w:val="00D12789"/>
    <w:rsid w:val="00D13123"/>
    <w:rsid w:val="00D13E32"/>
    <w:rsid w:val="00D1601B"/>
    <w:rsid w:val="00D165B8"/>
    <w:rsid w:val="00D1664E"/>
    <w:rsid w:val="00D17225"/>
    <w:rsid w:val="00D17F03"/>
    <w:rsid w:val="00D209B9"/>
    <w:rsid w:val="00D21833"/>
    <w:rsid w:val="00D21BF9"/>
    <w:rsid w:val="00D21FF7"/>
    <w:rsid w:val="00D222C4"/>
    <w:rsid w:val="00D22987"/>
    <w:rsid w:val="00D22E1A"/>
    <w:rsid w:val="00D2375D"/>
    <w:rsid w:val="00D24E07"/>
    <w:rsid w:val="00D26B55"/>
    <w:rsid w:val="00D27F04"/>
    <w:rsid w:val="00D33FE0"/>
    <w:rsid w:val="00D3444A"/>
    <w:rsid w:val="00D37049"/>
    <w:rsid w:val="00D4064F"/>
    <w:rsid w:val="00D40E24"/>
    <w:rsid w:val="00D42DD5"/>
    <w:rsid w:val="00D47063"/>
    <w:rsid w:val="00D50A2E"/>
    <w:rsid w:val="00D5175F"/>
    <w:rsid w:val="00D52D1B"/>
    <w:rsid w:val="00D53208"/>
    <w:rsid w:val="00D541B2"/>
    <w:rsid w:val="00D54269"/>
    <w:rsid w:val="00D54A77"/>
    <w:rsid w:val="00D54BF6"/>
    <w:rsid w:val="00D575BF"/>
    <w:rsid w:val="00D57FF7"/>
    <w:rsid w:val="00D60235"/>
    <w:rsid w:val="00D6072A"/>
    <w:rsid w:val="00D61071"/>
    <w:rsid w:val="00D630CB"/>
    <w:rsid w:val="00D64039"/>
    <w:rsid w:val="00D671CF"/>
    <w:rsid w:val="00D70193"/>
    <w:rsid w:val="00D7080B"/>
    <w:rsid w:val="00D72050"/>
    <w:rsid w:val="00D7350E"/>
    <w:rsid w:val="00D75BEB"/>
    <w:rsid w:val="00D76C29"/>
    <w:rsid w:val="00D7713C"/>
    <w:rsid w:val="00D803E7"/>
    <w:rsid w:val="00D86522"/>
    <w:rsid w:val="00D867EE"/>
    <w:rsid w:val="00D90C76"/>
    <w:rsid w:val="00D90F31"/>
    <w:rsid w:val="00D91E0A"/>
    <w:rsid w:val="00D91F2A"/>
    <w:rsid w:val="00D9214E"/>
    <w:rsid w:val="00D92FA2"/>
    <w:rsid w:val="00D948AE"/>
    <w:rsid w:val="00D9574B"/>
    <w:rsid w:val="00D95973"/>
    <w:rsid w:val="00D971D4"/>
    <w:rsid w:val="00DA00F0"/>
    <w:rsid w:val="00DA098B"/>
    <w:rsid w:val="00DA16AF"/>
    <w:rsid w:val="00DA3569"/>
    <w:rsid w:val="00DA42B9"/>
    <w:rsid w:val="00DA4DA2"/>
    <w:rsid w:val="00DA7A4E"/>
    <w:rsid w:val="00DA7D3C"/>
    <w:rsid w:val="00DB0898"/>
    <w:rsid w:val="00DB39AA"/>
    <w:rsid w:val="00DB3E6C"/>
    <w:rsid w:val="00DB5D37"/>
    <w:rsid w:val="00DB6121"/>
    <w:rsid w:val="00DB6AF3"/>
    <w:rsid w:val="00DB7269"/>
    <w:rsid w:val="00DC0142"/>
    <w:rsid w:val="00DC06AC"/>
    <w:rsid w:val="00DC11C3"/>
    <w:rsid w:val="00DC1583"/>
    <w:rsid w:val="00DC3BF6"/>
    <w:rsid w:val="00DC543A"/>
    <w:rsid w:val="00DC65F8"/>
    <w:rsid w:val="00DC7474"/>
    <w:rsid w:val="00DD0507"/>
    <w:rsid w:val="00DD24FE"/>
    <w:rsid w:val="00DD78BE"/>
    <w:rsid w:val="00DE2B20"/>
    <w:rsid w:val="00DE2FE0"/>
    <w:rsid w:val="00DE39F4"/>
    <w:rsid w:val="00DE65AF"/>
    <w:rsid w:val="00DF06EB"/>
    <w:rsid w:val="00DF1D10"/>
    <w:rsid w:val="00DF3675"/>
    <w:rsid w:val="00DF5098"/>
    <w:rsid w:val="00DF620D"/>
    <w:rsid w:val="00DF6ABB"/>
    <w:rsid w:val="00DF6E00"/>
    <w:rsid w:val="00E01AED"/>
    <w:rsid w:val="00E02C6F"/>
    <w:rsid w:val="00E03ACA"/>
    <w:rsid w:val="00E040A3"/>
    <w:rsid w:val="00E04217"/>
    <w:rsid w:val="00E06E79"/>
    <w:rsid w:val="00E07F2C"/>
    <w:rsid w:val="00E10289"/>
    <w:rsid w:val="00E10D16"/>
    <w:rsid w:val="00E12C3D"/>
    <w:rsid w:val="00E130C4"/>
    <w:rsid w:val="00E14333"/>
    <w:rsid w:val="00E15CB7"/>
    <w:rsid w:val="00E16E06"/>
    <w:rsid w:val="00E17B1C"/>
    <w:rsid w:val="00E21F30"/>
    <w:rsid w:val="00E23101"/>
    <w:rsid w:val="00E2381C"/>
    <w:rsid w:val="00E23FCF"/>
    <w:rsid w:val="00E256B0"/>
    <w:rsid w:val="00E31A01"/>
    <w:rsid w:val="00E32B4F"/>
    <w:rsid w:val="00E335B0"/>
    <w:rsid w:val="00E36836"/>
    <w:rsid w:val="00E37DD9"/>
    <w:rsid w:val="00E40706"/>
    <w:rsid w:val="00E40976"/>
    <w:rsid w:val="00E41D7A"/>
    <w:rsid w:val="00E43FD2"/>
    <w:rsid w:val="00E441D1"/>
    <w:rsid w:val="00E441ED"/>
    <w:rsid w:val="00E47FBF"/>
    <w:rsid w:val="00E525B5"/>
    <w:rsid w:val="00E53DD9"/>
    <w:rsid w:val="00E549A6"/>
    <w:rsid w:val="00E554BA"/>
    <w:rsid w:val="00E607F7"/>
    <w:rsid w:val="00E61160"/>
    <w:rsid w:val="00E61DE5"/>
    <w:rsid w:val="00E61F8B"/>
    <w:rsid w:val="00E62944"/>
    <w:rsid w:val="00E63E45"/>
    <w:rsid w:val="00E6474A"/>
    <w:rsid w:val="00E65CD7"/>
    <w:rsid w:val="00E662F1"/>
    <w:rsid w:val="00E67F89"/>
    <w:rsid w:val="00E7306F"/>
    <w:rsid w:val="00E735A0"/>
    <w:rsid w:val="00E73CFA"/>
    <w:rsid w:val="00E73D70"/>
    <w:rsid w:val="00E73EF8"/>
    <w:rsid w:val="00E77BF0"/>
    <w:rsid w:val="00E80B24"/>
    <w:rsid w:val="00E81218"/>
    <w:rsid w:val="00E81E06"/>
    <w:rsid w:val="00E82C98"/>
    <w:rsid w:val="00E84EAE"/>
    <w:rsid w:val="00E85A8B"/>
    <w:rsid w:val="00E86A93"/>
    <w:rsid w:val="00E900B4"/>
    <w:rsid w:val="00E9066A"/>
    <w:rsid w:val="00E906C2"/>
    <w:rsid w:val="00E95FCD"/>
    <w:rsid w:val="00E9749F"/>
    <w:rsid w:val="00E977DB"/>
    <w:rsid w:val="00E97DA7"/>
    <w:rsid w:val="00EA0258"/>
    <w:rsid w:val="00EA13E9"/>
    <w:rsid w:val="00EA141D"/>
    <w:rsid w:val="00EA1FA5"/>
    <w:rsid w:val="00EA26D2"/>
    <w:rsid w:val="00EA2A91"/>
    <w:rsid w:val="00EA3ED1"/>
    <w:rsid w:val="00EB19CA"/>
    <w:rsid w:val="00EB36A7"/>
    <w:rsid w:val="00EB5491"/>
    <w:rsid w:val="00EB6402"/>
    <w:rsid w:val="00EB711D"/>
    <w:rsid w:val="00EC0863"/>
    <w:rsid w:val="00EC0F3A"/>
    <w:rsid w:val="00EC1650"/>
    <w:rsid w:val="00EC3CF6"/>
    <w:rsid w:val="00EC4239"/>
    <w:rsid w:val="00EC47E8"/>
    <w:rsid w:val="00EC4ED9"/>
    <w:rsid w:val="00EC5ADC"/>
    <w:rsid w:val="00EC5B5E"/>
    <w:rsid w:val="00EC6F10"/>
    <w:rsid w:val="00EC7B8C"/>
    <w:rsid w:val="00ED2398"/>
    <w:rsid w:val="00ED25BA"/>
    <w:rsid w:val="00ED2DBB"/>
    <w:rsid w:val="00ED5DD2"/>
    <w:rsid w:val="00ED6CAB"/>
    <w:rsid w:val="00EE02C9"/>
    <w:rsid w:val="00EE187C"/>
    <w:rsid w:val="00EE1B22"/>
    <w:rsid w:val="00EE35E4"/>
    <w:rsid w:val="00EE3B58"/>
    <w:rsid w:val="00EE582D"/>
    <w:rsid w:val="00EE5A86"/>
    <w:rsid w:val="00EE6ACF"/>
    <w:rsid w:val="00EE6D70"/>
    <w:rsid w:val="00EE7608"/>
    <w:rsid w:val="00EE7CD9"/>
    <w:rsid w:val="00EF2E60"/>
    <w:rsid w:val="00EF332D"/>
    <w:rsid w:val="00EF3407"/>
    <w:rsid w:val="00EF3755"/>
    <w:rsid w:val="00EF3EAE"/>
    <w:rsid w:val="00F00216"/>
    <w:rsid w:val="00F01CC8"/>
    <w:rsid w:val="00F03100"/>
    <w:rsid w:val="00F03F60"/>
    <w:rsid w:val="00F04BFB"/>
    <w:rsid w:val="00F05747"/>
    <w:rsid w:val="00F05B11"/>
    <w:rsid w:val="00F06884"/>
    <w:rsid w:val="00F073C7"/>
    <w:rsid w:val="00F07A5F"/>
    <w:rsid w:val="00F11378"/>
    <w:rsid w:val="00F11571"/>
    <w:rsid w:val="00F12432"/>
    <w:rsid w:val="00F13460"/>
    <w:rsid w:val="00F136D1"/>
    <w:rsid w:val="00F141E3"/>
    <w:rsid w:val="00F14483"/>
    <w:rsid w:val="00F1472D"/>
    <w:rsid w:val="00F14974"/>
    <w:rsid w:val="00F1580F"/>
    <w:rsid w:val="00F15BA1"/>
    <w:rsid w:val="00F1697A"/>
    <w:rsid w:val="00F200D1"/>
    <w:rsid w:val="00F214BA"/>
    <w:rsid w:val="00F21CC1"/>
    <w:rsid w:val="00F220AC"/>
    <w:rsid w:val="00F22225"/>
    <w:rsid w:val="00F227CB"/>
    <w:rsid w:val="00F23B1F"/>
    <w:rsid w:val="00F23C2F"/>
    <w:rsid w:val="00F24718"/>
    <w:rsid w:val="00F26744"/>
    <w:rsid w:val="00F272EB"/>
    <w:rsid w:val="00F309EB"/>
    <w:rsid w:val="00F312ED"/>
    <w:rsid w:val="00F31AB6"/>
    <w:rsid w:val="00F31DFC"/>
    <w:rsid w:val="00F32AA4"/>
    <w:rsid w:val="00F355F3"/>
    <w:rsid w:val="00F40CBC"/>
    <w:rsid w:val="00F40D89"/>
    <w:rsid w:val="00F41B09"/>
    <w:rsid w:val="00F42947"/>
    <w:rsid w:val="00F44534"/>
    <w:rsid w:val="00F452C9"/>
    <w:rsid w:val="00F46EF1"/>
    <w:rsid w:val="00F514C1"/>
    <w:rsid w:val="00F53DF1"/>
    <w:rsid w:val="00F54689"/>
    <w:rsid w:val="00F56390"/>
    <w:rsid w:val="00F56CB4"/>
    <w:rsid w:val="00F60079"/>
    <w:rsid w:val="00F617BA"/>
    <w:rsid w:val="00F618A2"/>
    <w:rsid w:val="00F623E2"/>
    <w:rsid w:val="00F62EDE"/>
    <w:rsid w:val="00F64E76"/>
    <w:rsid w:val="00F64E8D"/>
    <w:rsid w:val="00F6548A"/>
    <w:rsid w:val="00F65503"/>
    <w:rsid w:val="00F66EA0"/>
    <w:rsid w:val="00F679FD"/>
    <w:rsid w:val="00F67F0D"/>
    <w:rsid w:val="00F700DA"/>
    <w:rsid w:val="00F71106"/>
    <w:rsid w:val="00F71316"/>
    <w:rsid w:val="00F71EE8"/>
    <w:rsid w:val="00F728E5"/>
    <w:rsid w:val="00F736B0"/>
    <w:rsid w:val="00F74768"/>
    <w:rsid w:val="00F75217"/>
    <w:rsid w:val="00F75B18"/>
    <w:rsid w:val="00F75B4C"/>
    <w:rsid w:val="00F76CF7"/>
    <w:rsid w:val="00F7784A"/>
    <w:rsid w:val="00F77FAF"/>
    <w:rsid w:val="00F8081C"/>
    <w:rsid w:val="00F820C7"/>
    <w:rsid w:val="00F82A79"/>
    <w:rsid w:val="00F83A05"/>
    <w:rsid w:val="00F848D9"/>
    <w:rsid w:val="00F860B4"/>
    <w:rsid w:val="00F8692E"/>
    <w:rsid w:val="00F86E71"/>
    <w:rsid w:val="00F87201"/>
    <w:rsid w:val="00F873C2"/>
    <w:rsid w:val="00F878DB"/>
    <w:rsid w:val="00F90A78"/>
    <w:rsid w:val="00F93456"/>
    <w:rsid w:val="00F94231"/>
    <w:rsid w:val="00F95B1E"/>
    <w:rsid w:val="00F95D08"/>
    <w:rsid w:val="00F95EF4"/>
    <w:rsid w:val="00FA3956"/>
    <w:rsid w:val="00FA6385"/>
    <w:rsid w:val="00FA69C6"/>
    <w:rsid w:val="00FA7400"/>
    <w:rsid w:val="00FA7D72"/>
    <w:rsid w:val="00FB10E8"/>
    <w:rsid w:val="00FB44F5"/>
    <w:rsid w:val="00FB48D5"/>
    <w:rsid w:val="00FB5F61"/>
    <w:rsid w:val="00FB6BEC"/>
    <w:rsid w:val="00FB74BF"/>
    <w:rsid w:val="00FB7D43"/>
    <w:rsid w:val="00FC04DD"/>
    <w:rsid w:val="00FC0A8B"/>
    <w:rsid w:val="00FC2046"/>
    <w:rsid w:val="00FC297E"/>
    <w:rsid w:val="00FC740A"/>
    <w:rsid w:val="00FC7B3D"/>
    <w:rsid w:val="00FD0D8A"/>
    <w:rsid w:val="00FD304D"/>
    <w:rsid w:val="00FD3FC3"/>
    <w:rsid w:val="00FD401E"/>
    <w:rsid w:val="00FD4410"/>
    <w:rsid w:val="00FD4CA0"/>
    <w:rsid w:val="00FD6EFC"/>
    <w:rsid w:val="00FD751F"/>
    <w:rsid w:val="00FE1291"/>
    <w:rsid w:val="00FE14CC"/>
    <w:rsid w:val="00FE1ACE"/>
    <w:rsid w:val="00FE2C23"/>
    <w:rsid w:val="00FE306D"/>
    <w:rsid w:val="00FE4EF6"/>
    <w:rsid w:val="00FE64C0"/>
    <w:rsid w:val="00FF0038"/>
    <w:rsid w:val="00FF0912"/>
    <w:rsid w:val="00FF1A36"/>
    <w:rsid w:val="00FF1A4D"/>
    <w:rsid w:val="00FF5343"/>
    <w:rsid w:val="00FF5B66"/>
    <w:rsid w:val="00FF67C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A263A4"/>
  <w15:docId w15:val="{61C325EA-94FE-4A07-8A7C-6A23F00B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568"/>
    <w:pPr>
      <w:jc w:val="both"/>
    </w:pPr>
    <w:rPr>
      <w:sz w:val="24"/>
    </w:rPr>
  </w:style>
  <w:style w:type="paragraph" w:styleId="Heading1">
    <w:name w:val="heading 1"/>
    <w:aliases w:val="Titolo capitolo"/>
    <w:basedOn w:val="Normal"/>
    <w:next w:val="Normal"/>
    <w:link w:val="Heading1Char"/>
    <w:uiPriority w:val="9"/>
    <w:qFormat/>
    <w:rsid w:val="000601CF"/>
    <w:pPr>
      <w:keepNext/>
      <w:jc w:val="center"/>
      <w:outlineLvl w:val="0"/>
    </w:pPr>
    <w:rPr>
      <w:b/>
    </w:rPr>
  </w:style>
  <w:style w:type="paragraph" w:styleId="Heading2">
    <w:name w:val="heading 2"/>
    <w:basedOn w:val="Normal"/>
    <w:next w:val="Normal"/>
    <w:link w:val="Heading2Char"/>
    <w:uiPriority w:val="9"/>
    <w:qFormat/>
    <w:rsid w:val="000601CF"/>
    <w:pPr>
      <w:keepNext/>
      <w:outlineLvl w:val="1"/>
    </w:pPr>
    <w:rPr>
      <w:b/>
    </w:rPr>
  </w:style>
  <w:style w:type="paragraph" w:styleId="Heading3">
    <w:name w:val="heading 3"/>
    <w:basedOn w:val="Normal"/>
    <w:next w:val="Normal"/>
    <w:link w:val="Heading3Char"/>
    <w:uiPriority w:val="9"/>
    <w:qFormat/>
    <w:rsid w:val="000601CF"/>
    <w:pPr>
      <w:keepNext/>
      <w:outlineLvl w:val="2"/>
    </w:pPr>
    <w:rPr>
      <w:b/>
      <w:sz w:val="22"/>
    </w:rPr>
  </w:style>
  <w:style w:type="paragraph" w:styleId="Heading4">
    <w:name w:val="heading 4"/>
    <w:basedOn w:val="Normal"/>
    <w:next w:val="Normal"/>
    <w:link w:val="Heading4Char"/>
    <w:uiPriority w:val="9"/>
    <w:qFormat/>
    <w:rsid w:val="000601CF"/>
    <w:pPr>
      <w:keepNext/>
      <w:outlineLvl w:val="3"/>
    </w:pPr>
    <w:rPr>
      <w:rFonts w:ascii="Verdana" w:hAnsi="Verdana"/>
      <w:b/>
      <w:sz w:val="20"/>
    </w:rPr>
  </w:style>
  <w:style w:type="paragraph" w:styleId="Heading5">
    <w:name w:val="heading 5"/>
    <w:basedOn w:val="Normal"/>
    <w:next w:val="Normal"/>
    <w:link w:val="Heading5Char"/>
    <w:uiPriority w:val="9"/>
    <w:qFormat/>
    <w:rsid w:val="000601CF"/>
    <w:pPr>
      <w:keepNext/>
      <w:jc w:val="center"/>
      <w:outlineLvl w:val="4"/>
    </w:pPr>
    <w:rPr>
      <w:sz w:val="28"/>
    </w:rPr>
  </w:style>
  <w:style w:type="paragraph" w:styleId="Heading6">
    <w:name w:val="heading 6"/>
    <w:basedOn w:val="Normal"/>
    <w:next w:val="Normal"/>
    <w:link w:val="Heading6Char"/>
    <w:uiPriority w:val="9"/>
    <w:qFormat/>
    <w:rsid w:val="000601CF"/>
    <w:pPr>
      <w:keepNext/>
      <w:jc w:val="left"/>
      <w:outlineLvl w:val="5"/>
    </w:pPr>
    <w:rPr>
      <w:rFonts w:ascii="Arial" w:hAnsi="Arial"/>
      <w:b/>
      <w:snapToGrid w:val="0"/>
      <w:color w:val="000000"/>
      <w:sz w:val="18"/>
    </w:rPr>
  </w:style>
  <w:style w:type="paragraph" w:styleId="Heading7">
    <w:name w:val="heading 7"/>
    <w:basedOn w:val="Normal"/>
    <w:next w:val="Normal"/>
    <w:link w:val="Heading7Char"/>
    <w:uiPriority w:val="9"/>
    <w:qFormat/>
    <w:rsid w:val="000601CF"/>
    <w:pPr>
      <w:keepNext/>
      <w:outlineLvl w:val="6"/>
    </w:pPr>
    <w:rPr>
      <w:rFonts w:ascii="Arial" w:hAnsi="Arial"/>
      <w:b/>
      <w:sz w:val="18"/>
    </w:rPr>
  </w:style>
  <w:style w:type="paragraph" w:styleId="Heading8">
    <w:name w:val="heading 8"/>
    <w:basedOn w:val="Normal"/>
    <w:next w:val="Normal"/>
    <w:link w:val="Heading8Char"/>
    <w:uiPriority w:val="9"/>
    <w:qFormat/>
    <w:rsid w:val="000601CF"/>
    <w:pPr>
      <w:keepNext/>
      <w:ind w:right="-1"/>
      <w:jc w:val="center"/>
      <w:outlineLvl w:val="7"/>
    </w:pPr>
    <w:rPr>
      <w:rFonts w:ascii="MyriadPro-It" w:hAnsi="MyriadPro-It"/>
      <w:snapToGrid w:val="0"/>
      <w:sz w:val="36"/>
    </w:rPr>
  </w:style>
  <w:style w:type="paragraph" w:styleId="Heading9">
    <w:name w:val="heading 9"/>
    <w:basedOn w:val="Normal"/>
    <w:next w:val="Normal"/>
    <w:link w:val="Heading9Char"/>
    <w:uiPriority w:val="9"/>
    <w:qFormat/>
    <w:rsid w:val="000601CF"/>
    <w:pPr>
      <w:keepNext/>
      <w:ind w:right="-1"/>
      <w:jc w:val="center"/>
      <w:outlineLvl w:val="8"/>
    </w:pPr>
    <w:rPr>
      <w:rFonts w:ascii="Arial" w:hAnsi="Arial"/>
      <w:b/>
      <w:snapToGrid w:val="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rsid w:val="00B844F4"/>
    <w:rPr>
      <w:rFonts w:ascii="Verdana" w:hAnsi="Verdana"/>
      <w:b/>
    </w:rPr>
  </w:style>
  <w:style w:type="character" w:customStyle="1" w:styleId="Heading5Char">
    <w:name w:val="Heading 5 Char"/>
    <w:link w:val="Heading5"/>
    <w:uiPriority w:val="9"/>
    <w:rsid w:val="00B844F4"/>
    <w:rPr>
      <w:sz w:val="28"/>
    </w:rPr>
  </w:style>
  <w:style w:type="character" w:customStyle="1" w:styleId="Heading6Char">
    <w:name w:val="Heading 6 Char"/>
    <w:link w:val="Heading6"/>
    <w:uiPriority w:val="9"/>
    <w:rsid w:val="00B844F4"/>
    <w:rPr>
      <w:rFonts w:ascii="Arial" w:hAnsi="Arial"/>
      <w:b/>
      <w:snapToGrid w:val="0"/>
      <w:color w:val="000000"/>
      <w:sz w:val="18"/>
    </w:rPr>
  </w:style>
  <w:style w:type="paragraph" w:styleId="BodyText">
    <w:name w:val="Body Text"/>
    <w:aliases w:val="Text,bt,BODY TEXT,body text,t,Block text,heading_txt,bodytxy2,Para,EHPT,Body Text2,bt1,bodytext,BT,txt1,T1,Title 1,EDStext,sp,bullet title,sbs,block text,Resume Text,bt4,body text4,bt5,body text5,body text1,tx,text,Justified,pp,RFP Text"/>
    <w:basedOn w:val="Normal"/>
    <w:link w:val="BodyTextChar"/>
    <w:uiPriority w:val="1"/>
    <w:qFormat/>
    <w:rsid w:val="000601CF"/>
    <w:rPr>
      <w:sz w:val="28"/>
    </w:rPr>
  </w:style>
  <w:style w:type="paragraph" w:styleId="BodyText2">
    <w:name w:val="Body Text 2"/>
    <w:basedOn w:val="Normal"/>
    <w:semiHidden/>
    <w:rsid w:val="000601CF"/>
    <w:rPr>
      <w:sz w:val="26"/>
    </w:rPr>
  </w:style>
  <w:style w:type="paragraph" w:styleId="Title">
    <w:name w:val="Title"/>
    <w:basedOn w:val="Normal"/>
    <w:link w:val="TitleChar"/>
    <w:uiPriority w:val="10"/>
    <w:qFormat/>
    <w:rsid w:val="000601CF"/>
    <w:pPr>
      <w:jc w:val="center"/>
    </w:pPr>
    <w:rPr>
      <w:i/>
      <w:sz w:val="26"/>
    </w:rPr>
  </w:style>
  <w:style w:type="paragraph" w:styleId="Subtitle">
    <w:name w:val="Subtitle"/>
    <w:basedOn w:val="Normal"/>
    <w:qFormat/>
    <w:rsid w:val="000601CF"/>
    <w:pPr>
      <w:jc w:val="center"/>
    </w:pPr>
    <w:rPr>
      <w:b/>
      <w:sz w:val="32"/>
    </w:rPr>
  </w:style>
  <w:style w:type="character" w:styleId="Hyperlink">
    <w:name w:val="Hyperlink"/>
    <w:rsid w:val="000601CF"/>
    <w:rPr>
      <w:color w:val="0000FF"/>
      <w:u w:val="single"/>
    </w:rPr>
  </w:style>
  <w:style w:type="paragraph" w:styleId="DocumentMap">
    <w:name w:val="Document Map"/>
    <w:basedOn w:val="Normal"/>
    <w:semiHidden/>
    <w:rsid w:val="000601CF"/>
    <w:pPr>
      <w:shd w:val="clear" w:color="auto" w:fill="000080"/>
    </w:pPr>
    <w:rPr>
      <w:rFonts w:ascii="Tahoma" w:hAnsi="Tahoma"/>
    </w:rPr>
  </w:style>
  <w:style w:type="paragraph" w:styleId="Header">
    <w:name w:val="header"/>
    <w:basedOn w:val="Normal"/>
    <w:link w:val="HeaderChar"/>
    <w:uiPriority w:val="99"/>
    <w:rsid w:val="000601CF"/>
    <w:pPr>
      <w:tabs>
        <w:tab w:val="center" w:pos="4819"/>
        <w:tab w:val="right" w:pos="9638"/>
      </w:tabs>
    </w:pPr>
  </w:style>
  <w:style w:type="paragraph" w:styleId="Footer">
    <w:name w:val="footer"/>
    <w:basedOn w:val="Normal"/>
    <w:link w:val="FooterChar"/>
    <w:uiPriority w:val="99"/>
    <w:rsid w:val="000601CF"/>
    <w:pPr>
      <w:tabs>
        <w:tab w:val="center" w:pos="4819"/>
        <w:tab w:val="right" w:pos="9638"/>
      </w:tabs>
    </w:pPr>
  </w:style>
  <w:style w:type="paragraph" w:styleId="BodyText3">
    <w:name w:val="Body Text 3"/>
    <w:basedOn w:val="Normal"/>
    <w:semiHidden/>
    <w:rsid w:val="000601CF"/>
    <w:rPr>
      <w:i/>
    </w:rPr>
  </w:style>
  <w:style w:type="paragraph" w:customStyle="1" w:styleId="S2">
    <w:name w:val="S2"/>
    <w:basedOn w:val="Normal"/>
    <w:autoRedefine/>
    <w:rsid w:val="000601CF"/>
    <w:pPr>
      <w:numPr>
        <w:ilvl w:val="1"/>
        <w:numId w:val="1"/>
      </w:numPr>
      <w:jc w:val="left"/>
      <w:outlineLvl w:val="0"/>
    </w:pPr>
    <w:rPr>
      <w:rFonts w:ascii="Tempus Sans ITC" w:hAnsi="Tempus Sans ITC"/>
      <w:b/>
      <w:sz w:val="26"/>
    </w:rPr>
  </w:style>
  <w:style w:type="paragraph" w:styleId="FootnoteText">
    <w:name w:val="footnote text"/>
    <w:aliases w:val="Footnote,Footnote1,Footnote2,Footnote3,Footnote4,Footnote5,Footnote6,Footnote7,Footnote8,Footnote9,Footnote10,Footnote11,Footnote21,Footnote31,Footnote41,Footnote51,Footnote61,Footnote71,Footnote81,Footnote91,Footnote12,stile "/>
    <w:basedOn w:val="Normal"/>
    <w:link w:val="FootnoteTextChar"/>
    <w:uiPriority w:val="99"/>
    <w:rsid w:val="000601CF"/>
    <w:pPr>
      <w:jc w:val="left"/>
    </w:pPr>
    <w:rPr>
      <w:sz w:val="20"/>
    </w:rPr>
  </w:style>
  <w:style w:type="character" w:styleId="FootnoteReference">
    <w:name w:val="footnote reference"/>
    <w:aliases w:val="Footnote symbol,Voetnootverwijzing,Rimando nota a piè di pagina1"/>
    <w:uiPriority w:val="99"/>
    <w:rsid w:val="000601CF"/>
    <w:rPr>
      <w:vertAlign w:val="superscript"/>
    </w:rPr>
  </w:style>
  <w:style w:type="paragraph" w:styleId="BlockText">
    <w:name w:val="Block Text"/>
    <w:basedOn w:val="Normal"/>
    <w:semiHidden/>
    <w:rsid w:val="000601CF"/>
    <w:pPr>
      <w:ind w:left="-284" w:right="-285"/>
      <w:jc w:val="center"/>
    </w:pPr>
    <w:rPr>
      <w:rFonts w:ascii="Verdana" w:hAnsi="Verdana"/>
      <w:b/>
      <w:sz w:val="32"/>
    </w:rPr>
  </w:style>
  <w:style w:type="paragraph" w:customStyle="1" w:styleId="Tabella">
    <w:name w:val="Tabella"/>
    <w:basedOn w:val="Heading2"/>
    <w:rsid w:val="000601CF"/>
    <w:pPr>
      <w:spacing w:before="120" w:after="60"/>
    </w:pPr>
    <w:rPr>
      <w:b w:val="0"/>
      <w:i/>
    </w:rPr>
  </w:style>
  <w:style w:type="paragraph" w:customStyle="1" w:styleId="xl41">
    <w:name w:val="xl41"/>
    <w:basedOn w:val="Normal"/>
    <w:rsid w:val="000601CF"/>
    <w:pPr>
      <w:spacing w:before="100" w:after="100"/>
    </w:pPr>
    <w:rPr>
      <w:rFonts w:eastAsia="Arial Unicode MS"/>
    </w:rPr>
  </w:style>
  <w:style w:type="paragraph" w:styleId="Caption">
    <w:name w:val="caption"/>
    <w:basedOn w:val="Normal"/>
    <w:next w:val="Normal"/>
    <w:uiPriority w:val="35"/>
    <w:qFormat/>
    <w:rsid w:val="000601CF"/>
    <w:pPr>
      <w:spacing w:after="240"/>
    </w:pPr>
    <w:rPr>
      <w:i/>
      <w:sz w:val="20"/>
    </w:rPr>
  </w:style>
  <w:style w:type="paragraph" w:customStyle="1" w:styleId="Fonte">
    <w:name w:val="Fonte"/>
    <w:basedOn w:val="Caption"/>
    <w:link w:val="FonteCarattere"/>
    <w:qFormat/>
    <w:rsid w:val="000601CF"/>
    <w:pPr>
      <w:spacing w:after="0"/>
    </w:pPr>
    <w:rPr>
      <w:i w:val="0"/>
      <w:sz w:val="18"/>
    </w:rPr>
  </w:style>
  <w:style w:type="paragraph" w:customStyle="1" w:styleId="Stile1">
    <w:name w:val="Stile1"/>
    <w:basedOn w:val="Normal"/>
    <w:rsid w:val="000601CF"/>
    <w:pPr>
      <w:spacing w:after="240"/>
    </w:pPr>
    <w:rPr>
      <w:rFonts w:ascii="Courier New" w:hAnsi="Courier New"/>
      <w:sz w:val="20"/>
    </w:rPr>
  </w:style>
  <w:style w:type="paragraph" w:styleId="TOC4">
    <w:name w:val="toc 4"/>
    <w:basedOn w:val="Normal"/>
    <w:next w:val="Normal"/>
    <w:autoRedefine/>
    <w:semiHidden/>
    <w:rsid w:val="000601CF"/>
    <w:pPr>
      <w:spacing w:after="240"/>
      <w:ind w:left="720"/>
    </w:pPr>
  </w:style>
  <w:style w:type="paragraph" w:styleId="TOC6">
    <w:name w:val="toc 6"/>
    <w:basedOn w:val="Normal"/>
    <w:next w:val="Normal"/>
    <w:autoRedefine/>
    <w:semiHidden/>
    <w:rsid w:val="000601CF"/>
    <w:pPr>
      <w:spacing w:after="240"/>
      <w:ind w:left="1200"/>
    </w:pPr>
  </w:style>
  <w:style w:type="paragraph" w:styleId="TOC3">
    <w:name w:val="toc 3"/>
    <w:basedOn w:val="Normal"/>
    <w:next w:val="Normal"/>
    <w:autoRedefine/>
    <w:uiPriority w:val="39"/>
    <w:rsid w:val="000601CF"/>
    <w:pPr>
      <w:spacing w:after="240"/>
      <w:ind w:left="480"/>
    </w:pPr>
  </w:style>
  <w:style w:type="paragraph" w:customStyle="1" w:styleId="StileStileStileTitolo114pt12pt">
    <w:name w:val="Stile Stile Stile Titolo 1 + + 14 pt + 12 pt"/>
    <w:basedOn w:val="Normal"/>
    <w:autoRedefine/>
    <w:rsid w:val="00B844F4"/>
    <w:pPr>
      <w:keepNext/>
      <w:spacing w:line="360" w:lineRule="auto"/>
      <w:ind w:firstLine="708"/>
      <w:outlineLvl w:val="0"/>
    </w:pPr>
    <w:rPr>
      <w:rFonts w:ascii="Tahoma" w:hAnsi="Tahoma"/>
      <w:sz w:val="28"/>
      <w:szCs w:val="24"/>
    </w:rPr>
  </w:style>
  <w:style w:type="character" w:customStyle="1" w:styleId="BodyTextIndentChar">
    <w:name w:val="Body Text Indent Char"/>
    <w:link w:val="BodyTextIndent"/>
    <w:semiHidden/>
    <w:rsid w:val="00B844F4"/>
    <w:rPr>
      <w:sz w:val="24"/>
      <w:szCs w:val="24"/>
    </w:rPr>
  </w:style>
  <w:style w:type="paragraph" w:styleId="BodyTextIndent">
    <w:name w:val="Body Text Indent"/>
    <w:basedOn w:val="Normal"/>
    <w:link w:val="BodyTextIndentChar"/>
    <w:semiHidden/>
    <w:rsid w:val="00B844F4"/>
    <w:pPr>
      <w:ind w:left="708"/>
    </w:pPr>
    <w:rPr>
      <w:szCs w:val="24"/>
    </w:rPr>
  </w:style>
  <w:style w:type="character" w:customStyle="1" w:styleId="BodyTextIndent2Char">
    <w:name w:val="Body Text Indent 2 Char"/>
    <w:link w:val="BodyTextIndent2"/>
    <w:semiHidden/>
    <w:rsid w:val="00B844F4"/>
    <w:rPr>
      <w:rFonts w:ascii="Tahoma" w:hAnsi="Tahoma"/>
      <w:b/>
      <w:sz w:val="32"/>
      <w:szCs w:val="24"/>
    </w:rPr>
  </w:style>
  <w:style w:type="paragraph" w:styleId="BodyTextIndent2">
    <w:name w:val="Body Text Indent 2"/>
    <w:basedOn w:val="Normal"/>
    <w:link w:val="BodyTextIndent2Char"/>
    <w:semiHidden/>
    <w:rsid w:val="00B844F4"/>
    <w:pPr>
      <w:widowControl w:val="0"/>
      <w:spacing w:line="360" w:lineRule="auto"/>
      <w:ind w:left="-840"/>
      <w:jc w:val="left"/>
    </w:pPr>
    <w:rPr>
      <w:rFonts w:ascii="Tahoma" w:hAnsi="Tahoma"/>
      <w:b/>
      <w:sz w:val="32"/>
      <w:szCs w:val="24"/>
    </w:rPr>
  </w:style>
  <w:style w:type="character" w:customStyle="1" w:styleId="BodyTextIndent3Char">
    <w:name w:val="Body Text Indent 3 Char"/>
    <w:link w:val="BodyTextIndent3"/>
    <w:semiHidden/>
    <w:rsid w:val="00B844F4"/>
    <w:rPr>
      <w:rFonts w:ascii="Tahoma" w:hAnsi="Tahoma"/>
      <w:sz w:val="28"/>
      <w:szCs w:val="24"/>
    </w:rPr>
  </w:style>
  <w:style w:type="paragraph" w:styleId="BodyTextIndent3">
    <w:name w:val="Body Text Indent 3"/>
    <w:basedOn w:val="Normal"/>
    <w:link w:val="BodyTextIndent3Char"/>
    <w:semiHidden/>
    <w:rsid w:val="00B844F4"/>
    <w:pPr>
      <w:ind w:left="708"/>
      <w:jc w:val="left"/>
    </w:pPr>
    <w:rPr>
      <w:rFonts w:ascii="Tahoma" w:hAnsi="Tahoma"/>
      <w:sz w:val="28"/>
      <w:szCs w:val="24"/>
    </w:rPr>
  </w:style>
  <w:style w:type="paragraph" w:customStyle="1" w:styleId="Rientrolettere">
    <w:name w:val="Rientro lettere"/>
    <w:basedOn w:val="Normal"/>
    <w:rsid w:val="00B844F4"/>
    <w:pPr>
      <w:numPr>
        <w:numId w:val="2"/>
      </w:numPr>
      <w:jc w:val="left"/>
    </w:pPr>
    <w:rPr>
      <w:sz w:val="20"/>
      <w:szCs w:val="24"/>
    </w:rPr>
  </w:style>
  <w:style w:type="paragraph" w:styleId="ListParagraph">
    <w:name w:val="List Paragraph"/>
    <w:aliases w:val="Elenco puntato"/>
    <w:basedOn w:val="Normal"/>
    <w:link w:val="ListParagraphChar"/>
    <w:uiPriority w:val="34"/>
    <w:qFormat/>
    <w:rsid w:val="00B844F4"/>
    <w:pPr>
      <w:spacing w:after="200" w:line="276" w:lineRule="auto"/>
      <w:ind w:left="720"/>
      <w:jc w:val="left"/>
    </w:pPr>
    <w:rPr>
      <w:rFonts w:ascii="Calibri" w:eastAsia="Calibri" w:hAnsi="Calibri"/>
      <w:sz w:val="22"/>
      <w:szCs w:val="24"/>
    </w:rPr>
  </w:style>
  <w:style w:type="character" w:customStyle="1" w:styleId="BalloonTextChar">
    <w:name w:val="Balloon Text Char"/>
    <w:link w:val="BalloonText"/>
    <w:uiPriority w:val="99"/>
    <w:semiHidden/>
    <w:rsid w:val="00B844F4"/>
    <w:rPr>
      <w:rFonts w:ascii="Tahoma" w:hAnsi="Tahoma"/>
      <w:sz w:val="16"/>
      <w:szCs w:val="16"/>
    </w:rPr>
  </w:style>
  <w:style w:type="paragraph" w:styleId="BalloonText">
    <w:name w:val="Balloon Text"/>
    <w:basedOn w:val="Normal"/>
    <w:link w:val="BalloonTextChar"/>
    <w:uiPriority w:val="99"/>
    <w:semiHidden/>
    <w:unhideWhenUsed/>
    <w:rsid w:val="00B844F4"/>
    <w:pPr>
      <w:jc w:val="left"/>
    </w:pPr>
    <w:rPr>
      <w:rFonts w:ascii="Tahoma" w:hAnsi="Tahoma"/>
      <w:sz w:val="16"/>
      <w:szCs w:val="16"/>
    </w:rPr>
  </w:style>
  <w:style w:type="character" w:customStyle="1" w:styleId="style132">
    <w:name w:val="style132"/>
    <w:rsid w:val="00B844F4"/>
  </w:style>
  <w:style w:type="paragraph" w:styleId="NormalWeb">
    <w:name w:val="Normal (Web)"/>
    <w:basedOn w:val="Normal"/>
    <w:uiPriority w:val="99"/>
    <w:semiHidden/>
    <w:unhideWhenUsed/>
    <w:rsid w:val="00B844F4"/>
    <w:pPr>
      <w:spacing w:before="100" w:beforeAutospacing="1" w:after="100" w:afterAutospacing="1"/>
      <w:jc w:val="left"/>
    </w:pPr>
    <w:rPr>
      <w:szCs w:val="24"/>
    </w:rPr>
  </w:style>
  <w:style w:type="character" w:styleId="Strong">
    <w:name w:val="Strong"/>
    <w:uiPriority w:val="22"/>
    <w:qFormat/>
    <w:rsid w:val="00B844F4"/>
    <w:rPr>
      <w:b/>
      <w:bCs/>
    </w:rPr>
  </w:style>
  <w:style w:type="table" w:styleId="TableGrid">
    <w:name w:val="Table Grid"/>
    <w:basedOn w:val="TableNormal"/>
    <w:uiPriority w:val="59"/>
    <w:rsid w:val="008E75C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aliases w:val="Footnote Char,Footnote1 Char,Footnote2 Char,Footnote3 Char,Footnote4 Char,Footnote5 Char,Footnote6 Char,Footnote7 Char,Footnote8 Char,Footnote9 Char,Footnote10 Char,Footnote11 Char,Footnote21 Char,Footnote31 Char,Footnote41 Char"/>
    <w:link w:val="FootnoteText"/>
    <w:uiPriority w:val="99"/>
    <w:rsid w:val="00991118"/>
  </w:style>
  <w:style w:type="character" w:customStyle="1" w:styleId="tabitem">
    <w:name w:val="tab item"/>
    <w:rsid w:val="00991118"/>
    <w:rPr>
      <w:rFonts w:ascii="Courier New" w:hAnsi="Courier New" w:cs="Courier New"/>
    </w:rPr>
  </w:style>
  <w:style w:type="paragraph" w:customStyle="1" w:styleId="IsnartTabitem">
    <w:name w:val="Isnart Tab item"/>
    <w:basedOn w:val="Normal"/>
    <w:rsid w:val="00991118"/>
    <w:pPr>
      <w:spacing w:before="60" w:after="60"/>
      <w:jc w:val="left"/>
    </w:pPr>
    <w:rPr>
      <w:rFonts w:ascii="Arial Narrow" w:hAnsi="Arial Narrow"/>
      <w:color w:val="000000"/>
    </w:rPr>
  </w:style>
  <w:style w:type="character" w:customStyle="1" w:styleId="HeaderChar">
    <w:name w:val="Header Char"/>
    <w:link w:val="Header"/>
    <w:uiPriority w:val="99"/>
    <w:rsid w:val="0014309F"/>
    <w:rPr>
      <w:sz w:val="24"/>
    </w:rPr>
  </w:style>
  <w:style w:type="character" w:customStyle="1" w:styleId="FooterChar">
    <w:name w:val="Footer Char"/>
    <w:link w:val="Footer"/>
    <w:uiPriority w:val="99"/>
    <w:rsid w:val="0014309F"/>
    <w:rPr>
      <w:sz w:val="24"/>
    </w:rPr>
  </w:style>
  <w:style w:type="character" w:styleId="PageNumber">
    <w:name w:val="page number"/>
    <w:basedOn w:val="DefaultParagraphFont"/>
    <w:uiPriority w:val="99"/>
    <w:rsid w:val="008E0687"/>
  </w:style>
  <w:style w:type="paragraph" w:customStyle="1" w:styleId="Default">
    <w:name w:val="Default"/>
    <w:rsid w:val="004F7FCF"/>
    <w:pPr>
      <w:autoSpaceDE w:val="0"/>
      <w:autoSpaceDN w:val="0"/>
      <w:adjustRightInd w:val="0"/>
    </w:pPr>
    <w:rPr>
      <w:rFonts w:ascii="Century Gothic" w:hAnsi="Century Gothic" w:cs="Century Gothic"/>
      <w:color w:val="000000"/>
      <w:sz w:val="24"/>
      <w:szCs w:val="24"/>
    </w:rPr>
  </w:style>
  <w:style w:type="character" w:styleId="CommentReference">
    <w:name w:val="annotation reference"/>
    <w:basedOn w:val="DefaultParagraphFont"/>
    <w:uiPriority w:val="99"/>
    <w:semiHidden/>
    <w:unhideWhenUsed/>
    <w:rsid w:val="00E900B4"/>
    <w:rPr>
      <w:sz w:val="16"/>
      <w:szCs w:val="16"/>
    </w:rPr>
  </w:style>
  <w:style w:type="paragraph" w:styleId="CommentText">
    <w:name w:val="annotation text"/>
    <w:basedOn w:val="Normal"/>
    <w:link w:val="CommentTextChar"/>
    <w:uiPriority w:val="99"/>
    <w:semiHidden/>
    <w:unhideWhenUsed/>
    <w:rsid w:val="00E900B4"/>
    <w:rPr>
      <w:sz w:val="20"/>
    </w:rPr>
  </w:style>
  <w:style w:type="character" w:customStyle="1" w:styleId="CommentTextChar">
    <w:name w:val="Comment Text Char"/>
    <w:basedOn w:val="DefaultParagraphFont"/>
    <w:link w:val="CommentText"/>
    <w:uiPriority w:val="99"/>
    <w:semiHidden/>
    <w:rsid w:val="00E900B4"/>
  </w:style>
  <w:style w:type="paragraph" w:styleId="CommentSubject">
    <w:name w:val="annotation subject"/>
    <w:basedOn w:val="CommentText"/>
    <w:next w:val="CommentText"/>
    <w:link w:val="CommentSubjectChar"/>
    <w:uiPriority w:val="99"/>
    <w:semiHidden/>
    <w:unhideWhenUsed/>
    <w:rsid w:val="00E900B4"/>
    <w:rPr>
      <w:b/>
      <w:bCs/>
    </w:rPr>
  </w:style>
  <w:style w:type="character" w:customStyle="1" w:styleId="CommentSubjectChar">
    <w:name w:val="Comment Subject Char"/>
    <w:basedOn w:val="CommentTextChar"/>
    <w:link w:val="CommentSubject"/>
    <w:uiPriority w:val="99"/>
    <w:semiHidden/>
    <w:rsid w:val="00E900B4"/>
    <w:rPr>
      <w:b/>
      <w:bCs/>
    </w:rPr>
  </w:style>
  <w:style w:type="paragraph" w:styleId="Revision">
    <w:name w:val="Revision"/>
    <w:hidden/>
    <w:uiPriority w:val="99"/>
    <w:semiHidden/>
    <w:rsid w:val="00E900B4"/>
    <w:rPr>
      <w:sz w:val="24"/>
    </w:rPr>
  </w:style>
  <w:style w:type="character" w:customStyle="1" w:styleId="Menzionenonrisolta1">
    <w:name w:val="Menzione non risolta1"/>
    <w:basedOn w:val="DefaultParagraphFont"/>
    <w:uiPriority w:val="99"/>
    <w:semiHidden/>
    <w:unhideWhenUsed/>
    <w:rsid w:val="004E39AA"/>
    <w:rPr>
      <w:color w:val="605E5C"/>
      <w:shd w:val="clear" w:color="auto" w:fill="E1DFDD"/>
    </w:rPr>
  </w:style>
  <w:style w:type="numbering" w:customStyle="1" w:styleId="Nessunelenco1">
    <w:name w:val="Nessun elenco1"/>
    <w:next w:val="NoList"/>
    <w:uiPriority w:val="99"/>
    <w:semiHidden/>
    <w:unhideWhenUsed/>
    <w:rsid w:val="00F452C9"/>
  </w:style>
  <w:style w:type="character" w:customStyle="1" w:styleId="Heading1Char">
    <w:name w:val="Heading 1 Char"/>
    <w:aliases w:val="Titolo capitolo Char"/>
    <w:basedOn w:val="DefaultParagraphFont"/>
    <w:link w:val="Heading1"/>
    <w:uiPriority w:val="9"/>
    <w:rsid w:val="00F452C9"/>
    <w:rPr>
      <w:b/>
      <w:sz w:val="24"/>
    </w:rPr>
  </w:style>
  <w:style w:type="character" w:customStyle="1" w:styleId="Heading2Char">
    <w:name w:val="Heading 2 Char"/>
    <w:basedOn w:val="DefaultParagraphFont"/>
    <w:link w:val="Heading2"/>
    <w:uiPriority w:val="9"/>
    <w:rsid w:val="00F452C9"/>
    <w:rPr>
      <w:b/>
      <w:sz w:val="24"/>
    </w:rPr>
  </w:style>
  <w:style w:type="character" w:customStyle="1" w:styleId="Heading3Char">
    <w:name w:val="Heading 3 Char"/>
    <w:basedOn w:val="DefaultParagraphFont"/>
    <w:link w:val="Heading3"/>
    <w:uiPriority w:val="9"/>
    <w:rsid w:val="00F452C9"/>
    <w:rPr>
      <w:b/>
      <w:sz w:val="22"/>
    </w:rPr>
  </w:style>
  <w:style w:type="character" w:customStyle="1" w:styleId="Heading7Char">
    <w:name w:val="Heading 7 Char"/>
    <w:basedOn w:val="DefaultParagraphFont"/>
    <w:link w:val="Heading7"/>
    <w:uiPriority w:val="9"/>
    <w:rsid w:val="00F452C9"/>
    <w:rPr>
      <w:rFonts w:ascii="Arial" w:hAnsi="Arial"/>
      <w:b/>
      <w:sz w:val="18"/>
    </w:rPr>
  </w:style>
  <w:style w:type="character" w:customStyle="1" w:styleId="Heading8Char">
    <w:name w:val="Heading 8 Char"/>
    <w:basedOn w:val="DefaultParagraphFont"/>
    <w:link w:val="Heading8"/>
    <w:uiPriority w:val="9"/>
    <w:rsid w:val="00F452C9"/>
    <w:rPr>
      <w:rFonts w:ascii="MyriadPro-It" w:hAnsi="MyriadPro-It"/>
      <w:snapToGrid w:val="0"/>
      <w:sz w:val="36"/>
    </w:rPr>
  </w:style>
  <w:style w:type="character" w:customStyle="1" w:styleId="Heading9Char">
    <w:name w:val="Heading 9 Char"/>
    <w:basedOn w:val="DefaultParagraphFont"/>
    <w:link w:val="Heading9"/>
    <w:uiPriority w:val="9"/>
    <w:rsid w:val="00F452C9"/>
    <w:rPr>
      <w:rFonts w:ascii="Arial" w:hAnsi="Arial"/>
      <w:b/>
      <w:snapToGrid w:val="0"/>
      <w:sz w:val="32"/>
    </w:rPr>
  </w:style>
  <w:style w:type="character" w:customStyle="1" w:styleId="ListParagraphChar">
    <w:name w:val="List Paragraph Char"/>
    <w:aliases w:val="Elenco puntato Char"/>
    <w:basedOn w:val="DefaultParagraphFont"/>
    <w:link w:val="ListParagraph"/>
    <w:uiPriority w:val="34"/>
    <w:rsid w:val="00F452C9"/>
    <w:rPr>
      <w:rFonts w:ascii="Calibri" w:eastAsia="Calibri" w:hAnsi="Calibri"/>
      <w:sz w:val="22"/>
      <w:szCs w:val="24"/>
    </w:rPr>
  </w:style>
  <w:style w:type="character" w:customStyle="1" w:styleId="Collegamentovisitato1">
    <w:name w:val="Collegamento visitato1"/>
    <w:basedOn w:val="DefaultParagraphFont"/>
    <w:uiPriority w:val="99"/>
    <w:semiHidden/>
    <w:unhideWhenUsed/>
    <w:rsid w:val="00F452C9"/>
    <w:rPr>
      <w:color w:val="800080"/>
      <w:u w:val="single"/>
    </w:rPr>
  </w:style>
  <w:style w:type="paragraph" w:styleId="TOCHeading">
    <w:name w:val="TOC Heading"/>
    <w:basedOn w:val="Heading1"/>
    <w:next w:val="Normal"/>
    <w:uiPriority w:val="39"/>
    <w:unhideWhenUsed/>
    <w:qFormat/>
    <w:rsid w:val="00F452C9"/>
    <w:pPr>
      <w:keepLines/>
      <w:numPr>
        <w:numId w:val="3"/>
      </w:numPr>
      <w:spacing w:before="480" w:after="240" w:line="259" w:lineRule="auto"/>
      <w:ind w:left="720"/>
      <w:jc w:val="left"/>
      <w:outlineLvl w:val="9"/>
    </w:pPr>
    <w:rPr>
      <w:rFonts w:ascii="Calibri" w:hAnsi="Calibri" w:cs="Calibri"/>
      <w:caps/>
      <w:color w:val="000000"/>
      <w:sz w:val="28"/>
      <w:szCs w:val="32"/>
    </w:rPr>
  </w:style>
  <w:style w:type="paragraph" w:customStyle="1" w:styleId="Sommario11">
    <w:name w:val="Sommario 11"/>
    <w:basedOn w:val="Normal"/>
    <w:next w:val="Normal"/>
    <w:autoRedefine/>
    <w:uiPriority w:val="39"/>
    <w:unhideWhenUsed/>
    <w:qFormat/>
    <w:rsid w:val="00F452C9"/>
    <w:pPr>
      <w:tabs>
        <w:tab w:val="left" w:pos="284"/>
        <w:tab w:val="left" w:pos="660"/>
        <w:tab w:val="right" w:leader="dot" w:pos="9638"/>
      </w:tabs>
      <w:spacing w:after="240"/>
    </w:pPr>
    <w:rPr>
      <w:rFonts w:ascii="Calibri" w:eastAsia="Calibri" w:hAnsi="Calibri" w:cs="Calibri"/>
      <w:b/>
      <w:bCs/>
      <w:noProof/>
      <w:color w:val="145B3C"/>
      <w:sz w:val="22"/>
      <w:szCs w:val="24"/>
      <w:lang w:eastAsia="en-US"/>
    </w:rPr>
  </w:style>
  <w:style w:type="paragraph" w:customStyle="1" w:styleId="Sommario21">
    <w:name w:val="Sommario 21"/>
    <w:basedOn w:val="Normal"/>
    <w:next w:val="Normal"/>
    <w:autoRedefine/>
    <w:uiPriority w:val="39"/>
    <w:unhideWhenUsed/>
    <w:qFormat/>
    <w:rsid w:val="00F452C9"/>
    <w:pPr>
      <w:tabs>
        <w:tab w:val="left" w:pos="880"/>
        <w:tab w:val="right" w:leader="dot" w:pos="9628"/>
      </w:tabs>
      <w:spacing w:after="240"/>
      <w:ind w:left="709" w:hanging="471"/>
    </w:pPr>
    <w:rPr>
      <w:rFonts w:ascii="Calibri" w:eastAsia="Calibri" w:hAnsi="Calibri" w:cs="Calibri"/>
      <w:b/>
      <w:bCs/>
      <w:noProof/>
      <w:color w:val="145B3C"/>
      <w:sz w:val="22"/>
      <w:szCs w:val="24"/>
      <w:lang w:eastAsia="en-US"/>
    </w:rPr>
  </w:style>
  <w:style w:type="paragraph" w:customStyle="1" w:styleId="Pa40">
    <w:name w:val="Pa40"/>
    <w:basedOn w:val="Normal"/>
    <w:next w:val="Normal"/>
    <w:uiPriority w:val="99"/>
    <w:rsid w:val="00F452C9"/>
    <w:pPr>
      <w:autoSpaceDE w:val="0"/>
      <w:autoSpaceDN w:val="0"/>
      <w:adjustRightInd w:val="0"/>
      <w:spacing w:after="120" w:line="141" w:lineRule="atLeast"/>
    </w:pPr>
    <w:rPr>
      <w:rFonts w:ascii="HelveticaNeueLT Pro 45 Lt" w:eastAsia="Calibri" w:hAnsi="HelveticaNeueLT Pro 45 Lt"/>
      <w:sz w:val="22"/>
      <w:szCs w:val="24"/>
      <w:lang w:eastAsia="en-US"/>
    </w:rPr>
  </w:style>
  <w:style w:type="character" w:customStyle="1" w:styleId="A2">
    <w:name w:val="A2"/>
    <w:uiPriority w:val="99"/>
    <w:rsid w:val="00F452C9"/>
    <w:rPr>
      <w:rFonts w:cs="HelveticaNeueLT Pro 45 Lt"/>
      <w:color w:val="000000"/>
      <w:sz w:val="15"/>
      <w:szCs w:val="15"/>
    </w:rPr>
  </w:style>
  <w:style w:type="character" w:styleId="HTMLCite">
    <w:name w:val="HTML Cite"/>
    <w:basedOn w:val="DefaultParagraphFont"/>
    <w:uiPriority w:val="99"/>
    <w:semiHidden/>
    <w:unhideWhenUsed/>
    <w:rsid w:val="00F452C9"/>
    <w:rPr>
      <w:i/>
      <w:iCs/>
    </w:rPr>
  </w:style>
  <w:style w:type="table" w:customStyle="1" w:styleId="Grigliatabella1">
    <w:name w:val="Griglia tabella1"/>
    <w:basedOn w:val="TableNormal"/>
    <w:next w:val="TableGrid"/>
    <w:uiPriority w:val="59"/>
    <w:rsid w:val="00F452C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tabellaegrafico1">
    <w:name w:val="Titolo tabella e grafico1"/>
    <w:uiPriority w:val="33"/>
    <w:qFormat/>
    <w:rsid w:val="00F452C9"/>
    <w:rPr>
      <w:rFonts w:cs="Calibri"/>
      <w:b/>
      <w:smallCaps/>
      <w:color w:val="262626"/>
      <w:sz w:val="20"/>
      <w:szCs w:val="20"/>
      <w:lang w:eastAsia="it-IT"/>
    </w:rPr>
  </w:style>
  <w:style w:type="character" w:customStyle="1" w:styleId="FonteCarattere">
    <w:name w:val="Fonte Carattere"/>
    <w:basedOn w:val="DefaultParagraphFont"/>
    <w:link w:val="Fonte"/>
    <w:rsid w:val="00F452C9"/>
    <w:rPr>
      <w:sz w:val="18"/>
    </w:rPr>
  </w:style>
  <w:style w:type="table" w:customStyle="1" w:styleId="Tabellaelenco3-colore51">
    <w:name w:val="Tabella elenco 3 - colore 51"/>
    <w:basedOn w:val="TableNormal"/>
    <w:uiPriority w:val="48"/>
    <w:rsid w:val="00F452C9"/>
    <w:rPr>
      <w:rFonts w:ascii="Calibri" w:eastAsia="Calibri" w:hAnsi="Calibri"/>
      <w:sz w:val="24"/>
      <w:szCs w:val="24"/>
      <w:lang w:eastAsia="en-US"/>
    </w:rPr>
    <w:tblPr>
      <w:tblStyleRowBandSize w:val="1"/>
      <w:tblStyleColBandSize w:val="1"/>
      <w:tblBorders>
        <w:top w:val="single" w:sz="4" w:space="0" w:color="29B67A"/>
        <w:left w:val="single" w:sz="4" w:space="0" w:color="29B67A"/>
        <w:bottom w:val="single" w:sz="4" w:space="0" w:color="29B67A"/>
        <w:right w:val="single" w:sz="4" w:space="0" w:color="29B67A"/>
      </w:tblBorders>
    </w:tblPr>
    <w:tblStylePr w:type="firstRow">
      <w:rPr>
        <w:b/>
        <w:bCs/>
        <w:color w:val="FFFFFF"/>
      </w:rPr>
      <w:tblPr/>
      <w:tcPr>
        <w:tcBorders>
          <w:top w:val="single" w:sz="4" w:space="0" w:color="29B67A"/>
          <w:left w:val="single" w:sz="4" w:space="0" w:color="29B67A"/>
          <w:bottom w:val="single" w:sz="4" w:space="0" w:color="29B67A"/>
          <w:right w:val="single" w:sz="4" w:space="0" w:color="29B67A"/>
          <w:insideH w:val="nil"/>
          <w:insideV w:val="nil"/>
          <w:tl2br w:val="nil"/>
          <w:tr2bl w:val="nil"/>
        </w:tcBorders>
        <w:shd w:val="clear" w:color="auto" w:fill="29B67A"/>
      </w:tcPr>
    </w:tblStylePr>
    <w:tblStylePr w:type="lastRow">
      <w:rPr>
        <w:b/>
        <w:bCs/>
      </w:rPr>
      <w:tblPr/>
      <w:tcPr>
        <w:tcBorders>
          <w:top w:val="double" w:sz="4" w:space="0" w:color="024E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24EA2"/>
          <w:right w:val="single" w:sz="4" w:space="0" w:color="024EA2"/>
        </w:tcBorders>
      </w:tcPr>
    </w:tblStylePr>
    <w:tblStylePr w:type="band1Horz">
      <w:tblPr/>
      <w:tcPr>
        <w:tcBorders>
          <w:top w:val="single" w:sz="4" w:space="0" w:color="024EA2"/>
          <w:bottom w:val="single" w:sz="4" w:space="0" w:color="024E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24EA2"/>
          <w:left w:val="nil"/>
        </w:tcBorders>
      </w:tcPr>
    </w:tblStylePr>
    <w:tblStylePr w:type="swCell">
      <w:tblPr/>
      <w:tcPr>
        <w:tcBorders>
          <w:top w:val="double" w:sz="4" w:space="0" w:color="024EA2"/>
          <w:right w:val="nil"/>
        </w:tcBorders>
      </w:tcPr>
    </w:tblStylePr>
  </w:style>
  <w:style w:type="table" w:customStyle="1" w:styleId="Tabellagriglia4-colore51">
    <w:name w:val="Tabella griglia 4 - colore 51"/>
    <w:basedOn w:val="TableNormal"/>
    <w:uiPriority w:val="49"/>
    <w:rsid w:val="00F452C9"/>
    <w:rPr>
      <w:rFonts w:ascii="Calibri" w:eastAsia="Calibri" w:hAnsi="Calibri"/>
      <w:sz w:val="18"/>
      <w:szCs w:val="24"/>
      <w:lang w:eastAsia="en-US"/>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bCs/>
        <w:color w:val="FFFFFF"/>
      </w:rPr>
      <w:tblPr/>
      <w:tcPr>
        <w:tcBorders>
          <w:top w:val="single" w:sz="4" w:space="0" w:color="024EA2"/>
          <w:left w:val="single" w:sz="4" w:space="0" w:color="024EA2"/>
          <w:bottom w:val="single" w:sz="4" w:space="0" w:color="024EA2"/>
          <w:right w:val="single" w:sz="4" w:space="0" w:color="024EA2"/>
          <w:insideH w:val="nil"/>
          <w:insideV w:val="nil"/>
        </w:tcBorders>
        <w:shd w:val="clear" w:color="auto" w:fill="024EA2"/>
      </w:tcPr>
    </w:tblStylePr>
    <w:tblStylePr w:type="lastRow">
      <w:rPr>
        <w:b/>
        <w:bCs/>
      </w:rPr>
      <w:tblPr/>
      <w:tcPr>
        <w:tcBorders>
          <w:top w:val="double" w:sz="4" w:space="0" w:color="024EA2"/>
        </w:tcBorders>
      </w:tcPr>
    </w:tblStylePr>
    <w:tblStylePr w:type="firstCol">
      <w:rPr>
        <w:b/>
        <w:bCs/>
      </w:rPr>
    </w:tblStylePr>
    <w:tblStylePr w:type="lastCol">
      <w:rPr>
        <w:b/>
        <w:bCs/>
      </w:rPr>
    </w:tblStylePr>
    <w:tblStylePr w:type="band1Vert">
      <w:tblPr/>
      <w:tcPr>
        <w:shd w:val="clear" w:color="auto" w:fill="BADAFE"/>
      </w:tcPr>
    </w:tblStylePr>
    <w:tblStylePr w:type="band1Horz">
      <w:tblPr/>
      <w:tcPr>
        <w:shd w:val="clear" w:color="auto" w:fill="BADAFE"/>
      </w:tcPr>
    </w:tblStylePr>
  </w:style>
  <w:style w:type="table" w:customStyle="1" w:styleId="Tabellasemplice51">
    <w:name w:val="Tabella semplice 51"/>
    <w:basedOn w:val="TableNormal"/>
    <w:uiPriority w:val="45"/>
    <w:rsid w:val="00F452C9"/>
    <w:rPr>
      <w:rFonts w:ascii="Calibri" w:eastAsia="Calibri" w:hAnsi="Calibri"/>
      <w:sz w:val="24"/>
      <w:szCs w:val="24"/>
      <w:lang w:eastAsia="en-US"/>
    </w:rPr>
    <w:tblPr>
      <w:tblStyleRowBandSize w:val="1"/>
      <w:tblStyleColBandSize w:val="1"/>
    </w:tblPr>
    <w:tblStylePr w:type="firstRow">
      <w:rPr>
        <w:rFonts w:ascii="Cambria" w:eastAsia="Times New Roman" w:hAnsi="Cambria" w:cs="Times New Roman"/>
        <w:i/>
        <w:iCs/>
        <w:sz w:val="26"/>
      </w:rPr>
      <w:tblPr/>
      <w:tcPr>
        <w:tcBorders>
          <w:bottom w:val="single" w:sz="4" w:space="0" w:color="7F7F7F"/>
        </w:tcBorders>
        <w:shd w:val="clear" w:color="auto" w:fill="FFFFFF"/>
      </w:tcPr>
    </w:tblStylePr>
    <w:tblStylePr w:type="lastRow">
      <w:rPr>
        <w:rFonts w:ascii="Cambria" w:eastAsia="Times New Roman" w:hAnsi="Cambria" w:cs="Times New Roman"/>
        <w:i/>
        <w:iCs/>
        <w:sz w:val="26"/>
      </w:rPr>
      <w:tblPr/>
      <w:tcPr>
        <w:tcBorders>
          <w:top w:val="single" w:sz="4" w:space="0" w:color="7F7F7F"/>
        </w:tcBorders>
        <w:shd w:val="clear" w:color="auto" w:fill="FFFFFF"/>
      </w:tcPr>
    </w:tblStylePr>
    <w:tblStylePr w:type="firstCol">
      <w:pPr>
        <w:jc w:val="right"/>
      </w:pPr>
      <w:rPr>
        <w:rFonts w:ascii="Cambria" w:eastAsia="Times New Roman" w:hAnsi="Cambria" w:cs="Times New Roman"/>
        <w:i/>
        <w:iCs/>
        <w:sz w:val="26"/>
      </w:rPr>
      <w:tblPr/>
      <w:tcPr>
        <w:tcBorders>
          <w:right w:val="single" w:sz="4" w:space="0" w:color="7F7F7F"/>
        </w:tcBorders>
        <w:shd w:val="clear" w:color="auto" w:fill="FFFFFF"/>
      </w:tcPr>
    </w:tblStylePr>
    <w:tblStylePr w:type="lastCol">
      <w:rPr>
        <w:rFonts w:ascii="Cambria" w:eastAsia="Times New Roman" w:hAnsi="Cambria"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TitleChar">
    <w:name w:val="Title Char"/>
    <w:basedOn w:val="DefaultParagraphFont"/>
    <w:link w:val="Title"/>
    <w:uiPriority w:val="10"/>
    <w:rsid w:val="00F452C9"/>
    <w:rPr>
      <w:i/>
      <w:sz w:val="26"/>
    </w:rPr>
  </w:style>
  <w:style w:type="paragraph" w:styleId="NoSpacing">
    <w:name w:val="No Spacing"/>
    <w:uiPriority w:val="1"/>
    <w:qFormat/>
    <w:rsid w:val="00F452C9"/>
    <w:pPr>
      <w:jc w:val="both"/>
    </w:pPr>
    <w:rPr>
      <w:rFonts w:ascii="Calibri" w:eastAsia="Calibri" w:hAnsi="Calibri"/>
      <w:sz w:val="22"/>
      <w:szCs w:val="24"/>
      <w:lang w:eastAsia="en-US"/>
    </w:rPr>
  </w:style>
  <w:style w:type="character" w:customStyle="1" w:styleId="Menzionenonrisolta2">
    <w:name w:val="Menzione non risolta2"/>
    <w:basedOn w:val="DefaultParagraphFont"/>
    <w:uiPriority w:val="99"/>
    <w:semiHidden/>
    <w:unhideWhenUsed/>
    <w:rsid w:val="00F452C9"/>
    <w:rPr>
      <w:color w:val="605E5C"/>
      <w:shd w:val="clear" w:color="auto" w:fill="E1DFDD"/>
    </w:rPr>
  </w:style>
  <w:style w:type="table" w:customStyle="1" w:styleId="Grigliachiara-Colore11">
    <w:name w:val="Griglia chiara - Colore 11"/>
    <w:basedOn w:val="TableNormal"/>
    <w:uiPriority w:val="62"/>
    <w:rsid w:val="00F452C9"/>
    <w:rPr>
      <w:rFonts w:ascii="Calibri" w:eastAsia="Calibri" w:hAnsi="Calibri"/>
      <w:sz w:val="24"/>
      <w:szCs w:val="24"/>
      <w:lang w:eastAsia="en-US"/>
    </w:rPr>
    <w:tblPr>
      <w:tblStyleRowBandSize w:val="1"/>
      <w:tblStyleColBandSize w:val="1"/>
      <w:tblBorders>
        <w:top w:val="single" w:sz="8" w:space="0" w:color="4472C4"/>
        <w:left w:val="single" w:sz="8" w:space="0" w:color="4472C4"/>
        <w:bottom w:val="single" w:sz="8" w:space="0" w:color="4472C4"/>
        <w:right w:val="single" w:sz="8" w:space="0" w:color="4472C4"/>
        <w:insideH w:val="single" w:sz="8" w:space="0" w:color="4472C4"/>
        <w:insideV w:val="single" w:sz="8" w:space="0" w:color="4472C4"/>
      </w:tblBorders>
    </w:tblPr>
    <w:tblStylePr w:type="firstRow">
      <w:pPr>
        <w:spacing w:before="0" w:after="0" w:line="240" w:lineRule="auto"/>
      </w:pPr>
      <w:rPr>
        <w:rFonts w:ascii="Calibri Light" w:eastAsia="Times New Roman" w:hAnsi="Calibri Light" w:cs="Times New Roman"/>
        <w:b/>
        <w:bCs/>
      </w:rPr>
      <w:tblPr/>
      <w:tcPr>
        <w:tcBorders>
          <w:top w:val="single" w:sz="8" w:space="0" w:color="4472C4"/>
          <w:left w:val="single" w:sz="8" w:space="0" w:color="4472C4"/>
          <w:bottom w:val="single" w:sz="18" w:space="0" w:color="4472C4"/>
          <w:right w:val="single" w:sz="8" w:space="0" w:color="4472C4"/>
          <w:insideH w:val="nil"/>
          <w:insideV w:val="single" w:sz="8" w:space="0" w:color="4472C4"/>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4472C4"/>
          <w:left w:val="single" w:sz="8" w:space="0" w:color="4472C4"/>
          <w:bottom w:val="single" w:sz="8" w:space="0" w:color="4472C4"/>
          <w:right w:val="single" w:sz="8" w:space="0" w:color="4472C4"/>
          <w:insideH w:val="nil"/>
          <w:insideV w:val="single" w:sz="8" w:space="0" w:color="4472C4"/>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4472C4"/>
          <w:left w:val="single" w:sz="8" w:space="0" w:color="4472C4"/>
          <w:bottom w:val="single" w:sz="8" w:space="0" w:color="4472C4"/>
          <w:right w:val="single" w:sz="8" w:space="0" w:color="4472C4"/>
        </w:tcBorders>
      </w:tcPr>
    </w:tblStylePr>
    <w:tblStylePr w:type="band1Vert">
      <w:tblPr/>
      <w:tcPr>
        <w:tcBorders>
          <w:top w:val="single" w:sz="8" w:space="0" w:color="4472C4"/>
          <w:left w:val="single" w:sz="8" w:space="0" w:color="4472C4"/>
          <w:bottom w:val="single" w:sz="8" w:space="0" w:color="4472C4"/>
          <w:right w:val="single" w:sz="8" w:space="0" w:color="4472C4"/>
        </w:tcBorders>
        <w:shd w:val="clear" w:color="auto" w:fill="D0DBF0"/>
      </w:tcPr>
    </w:tblStylePr>
    <w:tblStylePr w:type="band1Horz">
      <w:tblPr/>
      <w:tcPr>
        <w:tcBorders>
          <w:top w:val="single" w:sz="8" w:space="0" w:color="4472C4"/>
          <w:left w:val="single" w:sz="8" w:space="0" w:color="4472C4"/>
          <w:bottom w:val="single" w:sz="8" w:space="0" w:color="4472C4"/>
          <w:right w:val="single" w:sz="8" w:space="0" w:color="4472C4"/>
          <w:insideV w:val="single" w:sz="8" w:space="0" w:color="4472C4"/>
        </w:tcBorders>
        <w:shd w:val="clear" w:color="auto" w:fill="D0DBF0"/>
      </w:tcPr>
    </w:tblStylePr>
    <w:tblStylePr w:type="band2Horz">
      <w:tblPr/>
      <w:tcPr>
        <w:tcBorders>
          <w:top w:val="single" w:sz="8" w:space="0" w:color="4472C4"/>
          <w:left w:val="single" w:sz="8" w:space="0" w:color="4472C4"/>
          <w:bottom w:val="single" w:sz="8" w:space="0" w:color="4472C4"/>
          <w:right w:val="single" w:sz="8" w:space="0" w:color="4472C4"/>
          <w:insideV w:val="single" w:sz="8" w:space="0" w:color="4472C4"/>
        </w:tcBorders>
      </w:tcPr>
    </w:tblStylePr>
  </w:style>
  <w:style w:type="paragraph" w:customStyle="1" w:styleId="msonormal0">
    <w:name w:val="msonormal"/>
    <w:basedOn w:val="Normal"/>
    <w:rsid w:val="00F452C9"/>
    <w:pPr>
      <w:spacing w:before="100" w:beforeAutospacing="1" w:after="100" w:afterAutospacing="1"/>
      <w:jc w:val="left"/>
    </w:pPr>
    <w:rPr>
      <w:szCs w:val="24"/>
    </w:rPr>
  </w:style>
  <w:style w:type="paragraph" w:customStyle="1" w:styleId="xl191">
    <w:name w:val="xl191"/>
    <w:basedOn w:val="Normal"/>
    <w:rsid w:val="00F452C9"/>
    <w:pPr>
      <w:spacing w:before="100" w:beforeAutospacing="1" w:after="100" w:afterAutospacing="1"/>
      <w:jc w:val="left"/>
    </w:pPr>
    <w:rPr>
      <w:color w:val="135B3D"/>
      <w:szCs w:val="24"/>
    </w:rPr>
  </w:style>
  <w:style w:type="paragraph" w:customStyle="1" w:styleId="xl192">
    <w:name w:val="xl192"/>
    <w:basedOn w:val="Normal"/>
    <w:rsid w:val="00F452C9"/>
    <w:pPr>
      <w:spacing w:before="100" w:beforeAutospacing="1" w:after="100" w:afterAutospacing="1"/>
      <w:jc w:val="left"/>
    </w:pPr>
    <w:rPr>
      <w:szCs w:val="24"/>
    </w:rPr>
  </w:style>
  <w:style w:type="paragraph" w:customStyle="1" w:styleId="xl193">
    <w:name w:val="xl193"/>
    <w:basedOn w:val="Normal"/>
    <w:rsid w:val="00F452C9"/>
    <w:pPr>
      <w:spacing w:before="100" w:beforeAutospacing="1" w:after="100" w:afterAutospacing="1"/>
      <w:jc w:val="right"/>
      <w:textAlignment w:val="center"/>
    </w:pPr>
    <w:rPr>
      <w:color w:val="066686"/>
      <w:sz w:val="28"/>
      <w:szCs w:val="28"/>
    </w:rPr>
  </w:style>
  <w:style w:type="paragraph" w:customStyle="1" w:styleId="xl194">
    <w:name w:val="xl194"/>
    <w:basedOn w:val="Normal"/>
    <w:rsid w:val="00F452C9"/>
    <w:pPr>
      <w:shd w:val="clear" w:color="000000" w:fill="29B67A"/>
      <w:spacing w:before="100" w:beforeAutospacing="1" w:after="100" w:afterAutospacing="1"/>
      <w:jc w:val="right"/>
      <w:textAlignment w:val="top"/>
    </w:pPr>
    <w:rPr>
      <w:b/>
      <w:bCs/>
      <w:color w:val="FFFFFF"/>
      <w:sz w:val="17"/>
      <w:szCs w:val="17"/>
    </w:rPr>
  </w:style>
  <w:style w:type="paragraph" w:customStyle="1" w:styleId="xl195">
    <w:name w:val="xl195"/>
    <w:basedOn w:val="Normal"/>
    <w:rsid w:val="00F452C9"/>
    <w:pPr>
      <w:spacing w:before="100" w:beforeAutospacing="1" w:after="100" w:afterAutospacing="1"/>
      <w:jc w:val="right"/>
      <w:textAlignment w:val="top"/>
    </w:pPr>
    <w:rPr>
      <w:color w:val="262626"/>
      <w:sz w:val="17"/>
      <w:szCs w:val="17"/>
    </w:rPr>
  </w:style>
  <w:style w:type="paragraph" w:customStyle="1" w:styleId="xl196">
    <w:name w:val="xl196"/>
    <w:basedOn w:val="Normal"/>
    <w:rsid w:val="00F452C9"/>
    <w:pPr>
      <w:spacing w:before="100" w:beforeAutospacing="1" w:after="100" w:afterAutospacing="1"/>
      <w:jc w:val="right"/>
      <w:textAlignment w:val="top"/>
    </w:pPr>
    <w:rPr>
      <w:b/>
      <w:bCs/>
      <w:color w:val="024EA2"/>
      <w:sz w:val="17"/>
      <w:szCs w:val="17"/>
    </w:rPr>
  </w:style>
  <w:style w:type="paragraph" w:customStyle="1" w:styleId="xl197">
    <w:name w:val="xl197"/>
    <w:basedOn w:val="Normal"/>
    <w:rsid w:val="00F452C9"/>
    <w:pPr>
      <w:spacing w:before="100" w:beforeAutospacing="1" w:after="100" w:afterAutospacing="1"/>
      <w:jc w:val="left"/>
    </w:pPr>
    <w:rPr>
      <w:color w:val="066686"/>
      <w:szCs w:val="24"/>
    </w:rPr>
  </w:style>
  <w:style w:type="paragraph" w:customStyle="1" w:styleId="xl198">
    <w:name w:val="xl198"/>
    <w:basedOn w:val="Normal"/>
    <w:rsid w:val="00F452C9"/>
    <w:pPr>
      <w:spacing w:before="100" w:beforeAutospacing="1" w:after="100" w:afterAutospacing="1"/>
      <w:jc w:val="right"/>
      <w:textAlignment w:val="center"/>
    </w:pPr>
    <w:rPr>
      <w:color w:val="066686"/>
      <w:sz w:val="28"/>
      <w:szCs w:val="28"/>
    </w:rPr>
  </w:style>
  <w:style w:type="paragraph" w:customStyle="1" w:styleId="xl199">
    <w:name w:val="xl199"/>
    <w:basedOn w:val="Normal"/>
    <w:rsid w:val="00F452C9"/>
    <w:pPr>
      <w:spacing w:before="100" w:beforeAutospacing="1" w:after="100" w:afterAutospacing="1"/>
      <w:jc w:val="left"/>
    </w:pPr>
    <w:rPr>
      <w:color w:val="066686"/>
      <w:sz w:val="18"/>
      <w:szCs w:val="18"/>
    </w:rPr>
  </w:style>
  <w:style w:type="paragraph" w:customStyle="1" w:styleId="xl200">
    <w:name w:val="xl200"/>
    <w:basedOn w:val="Normal"/>
    <w:rsid w:val="00F452C9"/>
    <w:pPr>
      <w:spacing w:before="100" w:beforeAutospacing="1" w:after="100" w:afterAutospacing="1"/>
      <w:jc w:val="left"/>
    </w:pPr>
    <w:rPr>
      <w:color w:val="135B3D"/>
      <w:sz w:val="18"/>
      <w:szCs w:val="18"/>
    </w:rPr>
  </w:style>
  <w:style w:type="paragraph" w:customStyle="1" w:styleId="xl201">
    <w:name w:val="xl201"/>
    <w:basedOn w:val="Normal"/>
    <w:rsid w:val="00F452C9"/>
    <w:pPr>
      <w:spacing w:before="100" w:beforeAutospacing="1" w:after="100" w:afterAutospacing="1"/>
      <w:jc w:val="left"/>
    </w:pPr>
    <w:rPr>
      <w:color w:val="066686"/>
      <w:sz w:val="18"/>
      <w:szCs w:val="18"/>
    </w:rPr>
  </w:style>
  <w:style w:type="paragraph" w:customStyle="1" w:styleId="xl202">
    <w:name w:val="xl202"/>
    <w:basedOn w:val="Normal"/>
    <w:rsid w:val="00F452C9"/>
    <w:pPr>
      <w:spacing w:before="100" w:beforeAutospacing="1" w:after="100" w:afterAutospacing="1"/>
      <w:jc w:val="left"/>
    </w:pPr>
    <w:rPr>
      <w:sz w:val="20"/>
    </w:rPr>
  </w:style>
  <w:style w:type="paragraph" w:customStyle="1" w:styleId="xl203">
    <w:name w:val="xl203"/>
    <w:basedOn w:val="Normal"/>
    <w:rsid w:val="00F452C9"/>
    <w:pPr>
      <w:spacing w:before="100" w:beforeAutospacing="1" w:after="100" w:afterAutospacing="1"/>
      <w:jc w:val="left"/>
      <w:textAlignment w:val="top"/>
    </w:pPr>
    <w:rPr>
      <w:b/>
      <w:bCs/>
      <w:color w:val="135B3D"/>
      <w:sz w:val="20"/>
    </w:rPr>
  </w:style>
  <w:style w:type="paragraph" w:customStyle="1" w:styleId="xl204">
    <w:name w:val="xl204"/>
    <w:basedOn w:val="Normal"/>
    <w:rsid w:val="00F452C9"/>
    <w:pPr>
      <w:spacing w:before="100" w:beforeAutospacing="1" w:after="100" w:afterAutospacing="1"/>
      <w:jc w:val="left"/>
      <w:textAlignment w:val="top"/>
    </w:pPr>
    <w:rPr>
      <w:color w:val="404040"/>
      <w:sz w:val="18"/>
      <w:szCs w:val="18"/>
    </w:rPr>
  </w:style>
  <w:style w:type="paragraph" w:customStyle="1" w:styleId="xl205">
    <w:name w:val="xl205"/>
    <w:basedOn w:val="Normal"/>
    <w:rsid w:val="00F452C9"/>
    <w:pPr>
      <w:spacing w:before="100" w:beforeAutospacing="1" w:after="100" w:afterAutospacing="1"/>
      <w:jc w:val="right"/>
      <w:textAlignment w:val="top"/>
    </w:pPr>
    <w:rPr>
      <w:color w:val="404040"/>
      <w:sz w:val="20"/>
    </w:rPr>
  </w:style>
  <w:style w:type="paragraph" w:customStyle="1" w:styleId="xl206">
    <w:name w:val="xl206"/>
    <w:basedOn w:val="Normal"/>
    <w:rsid w:val="00F452C9"/>
    <w:pPr>
      <w:spacing w:before="100" w:beforeAutospacing="1" w:after="100" w:afterAutospacing="1"/>
      <w:jc w:val="left"/>
      <w:textAlignment w:val="top"/>
    </w:pPr>
    <w:rPr>
      <w:b/>
      <w:bCs/>
      <w:sz w:val="20"/>
    </w:rPr>
  </w:style>
  <w:style w:type="paragraph" w:customStyle="1" w:styleId="xl207">
    <w:name w:val="xl207"/>
    <w:basedOn w:val="Normal"/>
    <w:rsid w:val="00F452C9"/>
    <w:pPr>
      <w:spacing w:before="100" w:beforeAutospacing="1" w:after="100" w:afterAutospacing="1"/>
      <w:jc w:val="left"/>
      <w:textAlignment w:val="top"/>
    </w:pPr>
    <w:rPr>
      <w:color w:val="6B9F25"/>
      <w:sz w:val="20"/>
    </w:rPr>
  </w:style>
  <w:style w:type="paragraph" w:customStyle="1" w:styleId="xl208">
    <w:name w:val="xl208"/>
    <w:basedOn w:val="Normal"/>
    <w:rsid w:val="00F452C9"/>
    <w:pPr>
      <w:spacing w:before="100" w:beforeAutospacing="1" w:after="100" w:afterAutospacing="1"/>
      <w:jc w:val="left"/>
      <w:textAlignment w:val="top"/>
    </w:pPr>
    <w:rPr>
      <w:sz w:val="20"/>
    </w:rPr>
  </w:style>
  <w:style w:type="paragraph" w:customStyle="1" w:styleId="xl209">
    <w:name w:val="xl209"/>
    <w:basedOn w:val="Normal"/>
    <w:rsid w:val="00F452C9"/>
    <w:pPr>
      <w:spacing w:before="100" w:beforeAutospacing="1" w:after="100" w:afterAutospacing="1"/>
      <w:jc w:val="left"/>
      <w:textAlignment w:val="center"/>
    </w:pPr>
    <w:rPr>
      <w:color w:val="6B9F25"/>
      <w:sz w:val="20"/>
    </w:rPr>
  </w:style>
  <w:style w:type="paragraph" w:customStyle="1" w:styleId="xl210">
    <w:name w:val="xl210"/>
    <w:basedOn w:val="Normal"/>
    <w:rsid w:val="00F452C9"/>
    <w:pPr>
      <w:spacing w:before="100" w:beforeAutospacing="1" w:after="100" w:afterAutospacing="1"/>
      <w:jc w:val="left"/>
      <w:textAlignment w:val="top"/>
    </w:pPr>
    <w:rPr>
      <w:sz w:val="18"/>
      <w:szCs w:val="18"/>
    </w:rPr>
  </w:style>
  <w:style w:type="paragraph" w:customStyle="1" w:styleId="xl211">
    <w:name w:val="xl211"/>
    <w:basedOn w:val="Normal"/>
    <w:rsid w:val="00F452C9"/>
    <w:pPr>
      <w:spacing w:before="100" w:beforeAutospacing="1" w:after="100" w:afterAutospacing="1"/>
      <w:jc w:val="left"/>
      <w:textAlignment w:val="top"/>
    </w:pPr>
    <w:rPr>
      <w:szCs w:val="24"/>
    </w:rPr>
  </w:style>
  <w:style w:type="paragraph" w:customStyle="1" w:styleId="xl212">
    <w:name w:val="xl212"/>
    <w:basedOn w:val="Normal"/>
    <w:rsid w:val="00F452C9"/>
    <w:pPr>
      <w:spacing w:before="100" w:beforeAutospacing="1" w:after="100" w:afterAutospacing="1"/>
      <w:jc w:val="left"/>
      <w:textAlignment w:val="top"/>
    </w:pPr>
    <w:rPr>
      <w:b/>
      <w:bCs/>
      <w:color w:val="135B3D"/>
      <w:szCs w:val="24"/>
    </w:rPr>
  </w:style>
  <w:style w:type="paragraph" w:customStyle="1" w:styleId="xl213">
    <w:name w:val="xl213"/>
    <w:basedOn w:val="Normal"/>
    <w:rsid w:val="00F452C9"/>
    <w:pPr>
      <w:spacing w:before="100" w:beforeAutospacing="1" w:after="100" w:afterAutospacing="1"/>
      <w:jc w:val="left"/>
    </w:pPr>
    <w:rPr>
      <w:b/>
      <w:bCs/>
      <w:color w:val="135B3D"/>
      <w:szCs w:val="24"/>
    </w:rPr>
  </w:style>
  <w:style w:type="paragraph" w:customStyle="1" w:styleId="xl214">
    <w:name w:val="xl214"/>
    <w:basedOn w:val="Normal"/>
    <w:rsid w:val="00F452C9"/>
    <w:pPr>
      <w:spacing w:before="100" w:beforeAutospacing="1" w:after="100" w:afterAutospacing="1"/>
      <w:jc w:val="left"/>
    </w:pPr>
    <w:rPr>
      <w:b/>
      <w:bCs/>
      <w:color w:val="135B3D"/>
      <w:sz w:val="18"/>
      <w:szCs w:val="18"/>
    </w:rPr>
  </w:style>
  <w:style w:type="paragraph" w:customStyle="1" w:styleId="xl215">
    <w:name w:val="xl215"/>
    <w:basedOn w:val="Normal"/>
    <w:rsid w:val="00F452C9"/>
    <w:pPr>
      <w:shd w:val="clear" w:color="000000" w:fill="29B67A"/>
      <w:spacing w:before="100" w:beforeAutospacing="1" w:after="100" w:afterAutospacing="1"/>
      <w:jc w:val="right"/>
    </w:pPr>
    <w:rPr>
      <w:b/>
      <w:bCs/>
      <w:color w:val="FFFFFF"/>
      <w:szCs w:val="24"/>
    </w:rPr>
  </w:style>
  <w:style w:type="paragraph" w:customStyle="1" w:styleId="xl216">
    <w:name w:val="xl216"/>
    <w:basedOn w:val="Normal"/>
    <w:rsid w:val="00F452C9"/>
    <w:pPr>
      <w:shd w:val="clear" w:color="000000" w:fill="29B67A"/>
      <w:spacing w:before="100" w:beforeAutospacing="1" w:after="100" w:afterAutospacing="1"/>
      <w:jc w:val="right"/>
    </w:pPr>
    <w:rPr>
      <w:b/>
      <w:bCs/>
      <w:color w:val="FFFFFF"/>
      <w:sz w:val="18"/>
      <w:szCs w:val="18"/>
    </w:rPr>
  </w:style>
  <w:style w:type="paragraph" w:customStyle="1" w:styleId="xl217">
    <w:name w:val="xl217"/>
    <w:basedOn w:val="Normal"/>
    <w:rsid w:val="00F452C9"/>
    <w:pPr>
      <w:spacing w:before="100" w:beforeAutospacing="1" w:after="100" w:afterAutospacing="1"/>
      <w:jc w:val="left"/>
    </w:pPr>
    <w:rPr>
      <w:color w:val="262626"/>
      <w:sz w:val="17"/>
      <w:szCs w:val="17"/>
    </w:rPr>
  </w:style>
  <w:style w:type="paragraph" w:customStyle="1" w:styleId="xl218">
    <w:name w:val="xl218"/>
    <w:basedOn w:val="Normal"/>
    <w:rsid w:val="00F452C9"/>
    <w:pPr>
      <w:spacing w:before="100" w:beforeAutospacing="1" w:after="100" w:afterAutospacing="1"/>
      <w:jc w:val="left"/>
      <w:textAlignment w:val="top"/>
    </w:pPr>
    <w:rPr>
      <w:b/>
      <w:bCs/>
      <w:color w:val="262626"/>
      <w:sz w:val="17"/>
      <w:szCs w:val="17"/>
    </w:rPr>
  </w:style>
  <w:style w:type="paragraph" w:customStyle="1" w:styleId="xl219">
    <w:name w:val="xl219"/>
    <w:basedOn w:val="Normal"/>
    <w:rsid w:val="00F452C9"/>
    <w:pPr>
      <w:spacing w:before="100" w:beforeAutospacing="1" w:after="100" w:afterAutospacing="1"/>
      <w:jc w:val="left"/>
      <w:textAlignment w:val="top"/>
    </w:pPr>
    <w:rPr>
      <w:color w:val="262626"/>
      <w:sz w:val="17"/>
      <w:szCs w:val="17"/>
    </w:rPr>
  </w:style>
  <w:style w:type="paragraph" w:customStyle="1" w:styleId="xl220">
    <w:name w:val="xl220"/>
    <w:basedOn w:val="Normal"/>
    <w:rsid w:val="00F452C9"/>
    <w:pPr>
      <w:spacing w:before="100" w:beforeAutospacing="1" w:after="100" w:afterAutospacing="1"/>
      <w:jc w:val="right"/>
      <w:textAlignment w:val="top"/>
    </w:pPr>
    <w:rPr>
      <w:color w:val="262626"/>
      <w:sz w:val="17"/>
      <w:szCs w:val="17"/>
    </w:rPr>
  </w:style>
  <w:style w:type="paragraph" w:customStyle="1" w:styleId="xl221">
    <w:name w:val="xl221"/>
    <w:basedOn w:val="Normal"/>
    <w:rsid w:val="00F452C9"/>
    <w:pPr>
      <w:pBdr>
        <w:bottom w:val="single" w:sz="4" w:space="0" w:color="339966"/>
      </w:pBdr>
      <w:spacing w:before="100" w:beforeAutospacing="1" w:after="100" w:afterAutospacing="1"/>
      <w:jc w:val="left"/>
    </w:pPr>
    <w:rPr>
      <w:b/>
      <w:bCs/>
      <w:color w:val="024EA2"/>
      <w:sz w:val="17"/>
      <w:szCs w:val="17"/>
    </w:rPr>
  </w:style>
  <w:style w:type="paragraph" w:customStyle="1" w:styleId="xl222">
    <w:name w:val="xl222"/>
    <w:basedOn w:val="Normal"/>
    <w:rsid w:val="00F452C9"/>
    <w:pPr>
      <w:pBdr>
        <w:bottom w:val="single" w:sz="4" w:space="0" w:color="339966"/>
      </w:pBdr>
      <w:spacing w:before="100" w:beforeAutospacing="1" w:after="100" w:afterAutospacing="1"/>
      <w:jc w:val="right"/>
    </w:pPr>
    <w:rPr>
      <w:b/>
      <w:bCs/>
      <w:color w:val="024EA2"/>
      <w:sz w:val="17"/>
      <w:szCs w:val="17"/>
    </w:rPr>
  </w:style>
  <w:style w:type="paragraph" w:customStyle="1" w:styleId="xl223">
    <w:name w:val="xl223"/>
    <w:basedOn w:val="Normal"/>
    <w:rsid w:val="00F452C9"/>
    <w:pPr>
      <w:pBdr>
        <w:bottom w:val="single" w:sz="4" w:space="0" w:color="339966"/>
      </w:pBdr>
      <w:spacing w:before="100" w:beforeAutospacing="1" w:after="100" w:afterAutospacing="1"/>
      <w:jc w:val="right"/>
    </w:pPr>
    <w:rPr>
      <w:b/>
      <w:bCs/>
      <w:color w:val="024EA2"/>
      <w:sz w:val="17"/>
      <w:szCs w:val="17"/>
    </w:rPr>
  </w:style>
  <w:style w:type="paragraph" w:customStyle="1" w:styleId="xl224">
    <w:name w:val="xl224"/>
    <w:basedOn w:val="Normal"/>
    <w:rsid w:val="00F452C9"/>
    <w:pPr>
      <w:spacing w:before="100" w:beforeAutospacing="1" w:after="100" w:afterAutospacing="1"/>
      <w:jc w:val="left"/>
    </w:pPr>
    <w:rPr>
      <w:color w:val="024EA2"/>
      <w:sz w:val="17"/>
      <w:szCs w:val="17"/>
    </w:rPr>
  </w:style>
  <w:style w:type="paragraph" w:customStyle="1" w:styleId="xl225">
    <w:name w:val="xl225"/>
    <w:basedOn w:val="Normal"/>
    <w:rsid w:val="00F452C9"/>
    <w:pPr>
      <w:spacing w:before="100" w:beforeAutospacing="1" w:after="100" w:afterAutospacing="1"/>
      <w:jc w:val="left"/>
    </w:pPr>
    <w:rPr>
      <w:b/>
      <w:bCs/>
      <w:color w:val="024EA2"/>
      <w:sz w:val="17"/>
      <w:szCs w:val="17"/>
    </w:rPr>
  </w:style>
  <w:style w:type="paragraph" w:customStyle="1" w:styleId="xl226">
    <w:name w:val="xl226"/>
    <w:basedOn w:val="Normal"/>
    <w:rsid w:val="00F452C9"/>
    <w:pPr>
      <w:spacing w:before="100" w:beforeAutospacing="1" w:after="100" w:afterAutospacing="1"/>
      <w:jc w:val="left"/>
      <w:textAlignment w:val="top"/>
    </w:pPr>
    <w:rPr>
      <w:b/>
      <w:bCs/>
      <w:color w:val="024EA2"/>
      <w:sz w:val="17"/>
      <w:szCs w:val="17"/>
    </w:rPr>
  </w:style>
  <w:style w:type="paragraph" w:customStyle="1" w:styleId="xl227">
    <w:name w:val="xl227"/>
    <w:basedOn w:val="Normal"/>
    <w:rsid w:val="00F452C9"/>
    <w:pPr>
      <w:spacing w:before="100" w:beforeAutospacing="1" w:after="100" w:afterAutospacing="1"/>
      <w:jc w:val="right"/>
      <w:textAlignment w:val="top"/>
    </w:pPr>
    <w:rPr>
      <w:b/>
      <w:bCs/>
      <w:color w:val="024EA2"/>
      <w:sz w:val="17"/>
      <w:szCs w:val="17"/>
    </w:rPr>
  </w:style>
  <w:style w:type="paragraph" w:customStyle="1" w:styleId="xl228">
    <w:name w:val="xl228"/>
    <w:basedOn w:val="Normal"/>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29">
    <w:name w:val="xl229"/>
    <w:basedOn w:val="Normal"/>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30">
    <w:name w:val="xl230"/>
    <w:basedOn w:val="Normal"/>
    <w:rsid w:val="00F452C9"/>
    <w:pPr>
      <w:pBdr>
        <w:bottom w:val="single" w:sz="4" w:space="0" w:color="auto"/>
      </w:pBdr>
      <w:spacing w:before="100" w:beforeAutospacing="1" w:after="100" w:afterAutospacing="1"/>
      <w:jc w:val="right"/>
    </w:pPr>
    <w:rPr>
      <w:color w:val="262626"/>
      <w:sz w:val="18"/>
      <w:szCs w:val="18"/>
    </w:rPr>
  </w:style>
  <w:style w:type="paragraph" w:customStyle="1" w:styleId="xl231">
    <w:name w:val="xl231"/>
    <w:basedOn w:val="Normal"/>
    <w:rsid w:val="00F452C9"/>
    <w:pPr>
      <w:pBdr>
        <w:bottom w:val="single" w:sz="4" w:space="0" w:color="auto"/>
      </w:pBdr>
      <w:spacing w:before="100" w:beforeAutospacing="1" w:after="100" w:afterAutospacing="1"/>
      <w:jc w:val="left"/>
    </w:pPr>
    <w:rPr>
      <w:b/>
      <w:bCs/>
      <w:color w:val="262626"/>
      <w:sz w:val="18"/>
      <w:szCs w:val="18"/>
    </w:rPr>
  </w:style>
  <w:style w:type="paragraph" w:customStyle="1" w:styleId="xl232">
    <w:name w:val="xl232"/>
    <w:basedOn w:val="Normal"/>
    <w:rsid w:val="00F452C9"/>
    <w:pPr>
      <w:pBdr>
        <w:bottom w:val="single" w:sz="4" w:space="0" w:color="29B67A"/>
      </w:pBdr>
      <w:spacing w:before="100" w:beforeAutospacing="1" w:after="100" w:afterAutospacing="1"/>
      <w:jc w:val="left"/>
    </w:pPr>
    <w:rPr>
      <w:color w:val="135B3D"/>
      <w:sz w:val="18"/>
      <w:szCs w:val="18"/>
    </w:rPr>
  </w:style>
  <w:style w:type="paragraph" w:customStyle="1" w:styleId="xl233">
    <w:name w:val="xl233"/>
    <w:basedOn w:val="Normal"/>
    <w:rsid w:val="00F452C9"/>
    <w:pPr>
      <w:pBdr>
        <w:bottom w:val="single" w:sz="4" w:space="0" w:color="29B67A"/>
      </w:pBdr>
      <w:spacing w:before="100" w:beforeAutospacing="1" w:after="100" w:afterAutospacing="1"/>
      <w:jc w:val="left"/>
    </w:pPr>
    <w:rPr>
      <w:sz w:val="20"/>
    </w:rPr>
  </w:style>
  <w:style w:type="paragraph" w:customStyle="1" w:styleId="xl234">
    <w:name w:val="xl234"/>
    <w:basedOn w:val="Normal"/>
    <w:rsid w:val="00F452C9"/>
    <w:pPr>
      <w:pBdr>
        <w:top w:val="single" w:sz="4" w:space="0" w:color="29B67A"/>
      </w:pBdr>
      <w:spacing w:before="100" w:beforeAutospacing="1" w:after="100" w:afterAutospacing="1"/>
      <w:jc w:val="left"/>
      <w:textAlignment w:val="top"/>
    </w:pPr>
    <w:rPr>
      <w:color w:val="262626"/>
      <w:sz w:val="16"/>
      <w:szCs w:val="16"/>
    </w:rPr>
  </w:style>
  <w:style w:type="paragraph" w:customStyle="1" w:styleId="xl235">
    <w:name w:val="xl235"/>
    <w:basedOn w:val="Normal"/>
    <w:rsid w:val="00F452C9"/>
    <w:pPr>
      <w:spacing w:before="100" w:beforeAutospacing="1" w:after="100" w:afterAutospacing="1"/>
      <w:jc w:val="right"/>
      <w:textAlignment w:val="top"/>
    </w:pPr>
    <w:rPr>
      <w:i/>
      <w:iCs/>
      <w:color w:val="262626"/>
      <w:sz w:val="16"/>
      <w:szCs w:val="16"/>
    </w:rPr>
  </w:style>
  <w:style w:type="paragraph" w:customStyle="1" w:styleId="xl236">
    <w:name w:val="xl236"/>
    <w:basedOn w:val="Normal"/>
    <w:rsid w:val="00F452C9"/>
    <w:pPr>
      <w:spacing w:before="100" w:beforeAutospacing="1" w:after="100" w:afterAutospacing="1"/>
      <w:textAlignment w:val="top"/>
    </w:pPr>
    <w:rPr>
      <w:b/>
      <w:bCs/>
      <w:color w:val="262626"/>
      <w:sz w:val="18"/>
      <w:szCs w:val="18"/>
    </w:rPr>
  </w:style>
  <w:style w:type="paragraph" w:customStyle="1" w:styleId="xl237">
    <w:name w:val="xl237"/>
    <w:basedOn w:val="Normal"/>
    <w:rsid w:val="00F452C9"/>
    <w:pPr>
      <w:spacing w:before="100" w:beforeAutospacing="1" w:after="100" w:afterAutospacing="1"/>
      <w:textAlignment w:val="top"/>
    </w:pPr>
    <w:rPr>
      <w:b/>
      <w:bCs/>
      <w:color w:val="262626"/>
      <w:sz w:val="18"/>
      <w:szCs w:val="18"/>
    </w:rPr>
  </w:style>
  <w:style w:type="paragraph" w:customStyle="1" w:styleId="xl238">
    <w:name w:val="xl238"/>
    <w:basedOn w:val="Normal"/>
    <w:rsid w:val="00F452C9"/>
    <w:pPr>
      <w:pBdr>
        <w:bottom w:val="single" w:sz="4" w:space="0" w:color="FFFFFF"/>
      </w:pBdr>
      <w:shd w:val="clear" w:color="000000" w:fill="29B67A"/>
      <w:spacing w:before="100" w:beforeAutospacing="1" w:after="100" w:afterAutospacing="1"/>
      <w:jc w:val="right"/>
      <w:textAlignment w:val="top"/>
    </w:pPr>
    <w:rPr>
      <w:b/>
      <w:bCs/>
      <w:color w:val="FFFFFF"/>
      <w:sz w:val="18"/>
      <w:szCs w:val="18"/>
    </w:rPr>
  </w:style>
  <w:style w:type="paragraph" w:customStyle="1" w:styleId="xl239">
    <w:name w:val="xl239"/>
    <w:basedOn w:val="Normal"/>
    <w:rsid w:val="00F452C9"/>
    <w:pPr>
      <w:pBdr>
        <w:bottom w:val="single" w:sz="4" w:space="0" w:color="FFFFFF"/>
      </w:pBdr>
      <w:shd w:val="clear" w:color="000000" w:fill="29B67A"/>
      <w:spacing w:before="100" w:beforeAutospacing="1" w:after="100" w:afterAutospacing="1"/>
      <w:jc w:val="right"/>
      <w:textAlignment w:val="top"/>
    </w:pPr>
    <w:rPr>
      <w:b/>
      <w:bCs/>
      <w:color w:val="FFFFFF"/>
      <w:sz w:val="18"/>
      <w:szCs w:val="18"/>
    </w:rPr>
  </w:style>
  <w:style w:type="paragraph" w:customStyle="1" w:styleId="xl240">
    <w:name w:val="xl240"/>
    <w:basedOn w:val="Normal"/>
    <w:rsid w:val="00F452C9"/>
    <w:pPr>
      <w:spacing w:before="100" w:beforeAutospacing="1" w:after="100" w:afterAutospacing="1"/>
      <w:jc w:val="left"/>
      <w:textAlignment w:val="center"/>
    </w:pPr>
    <w:rPr>
      <w:color w:val="066686"/>
      <w:sz w:val="28"/>
      <w:szCs w:val="28"/>
    </w:rPr>
  </w:style>
  <w:style w:type="paragraph" w:customStyle="1" w:styleId="xl241">
    <w:name w:val="xl241"/>
    <w:basedOn w:val="Normal"/>
    <w:rsid w:val="00F452C9"/>
    <w:pPr>
      <w:shd w:val="clear" w:color="000000" w:fill="29B67A"/>
      <w:spacing w:before="100" w:beforeAutospacing="1" w:after="100" w:afterAutospacing="1"/>
      <w:jc w:val="right"/>
      <w:textAlignment w:val="top"/>
    </w:pPr>
    <w:rPr>
      <w:b/>
      <w:bCs/>
      <w:color w:val="FFFFFF"/>
      <w:sz w:val="20"/>
    </w:rPr>
  </w:style>
  <w:style w:type="paragraph" w:customStyle="1" w:styleId="TableParagraph">
    <w:name w:val="Table Paragraph"/>
    <w:basedOn w:val="Normal"/>
    <w:uiPriority w:val="1"/>
    <w:qFormat/>
    <w:rsid w:val="00F452C9"/>
    <w:pPr>
      <w:widowControl w:val="0"/>
      <w:autoSpaceDE w:val="0"/>
      <w:autoSpaceDN w:val="0"/>
      <w:jc w:val="right"/>
    </w:pPr>
    <w:rPr>
      <w:rFonts w:ascii="Calibri" w:hAnsi="Calibri" w:cs="Calibri"/>
      <w:sz w:val="22"/>
      <w:szCs w:val="22"/>
      <w:lang w:eastAsia="en-US"/>
    </w:rPr>
  </w:style>
  <w:style w:type="character" w:customStyle="1" w:styleId="BodyTextChar">
    <w:name w:val="Body Text Char"/>
    <w:aliases w:val="Text Char,bt Char,BODY TEXT Char,body text Char,t Char,Block text Char,heading_txt Char,bodytxy2 Char,Para Char,EHPT Char,Body Text2 Char,bt1 Char,bodytext Char,BT Char,txt1 Char,T1 Char,Title 1 Char,EDStext Char,sp Char,bullet title Char"/>
    <w:basedOn w:val="DefaultParagraphFont"/>
    <w:link w:val="BodyText"/>
    <w:uiPriority w:val="1"/>
    <w:rsid w:val="00F452C9"/>
    <w:rPr>
      <w:sz w:val="28"/>
    </w:rPr>
  </w:style>
  <w:style w:type="paragraph" w:customStyle="1" w:styleId="desk-menu-item">
    <w:name w:val="desk-menu-item"/>
    <w:basedOn w:val="Normal"/>
    <w:rsid w:val="00F452C9"/>
    <w:pPr>
      <w:spacing w:before="100" w:beforeAutospacing="1" w:after="100" w:afterAutospacing="1"/>
      <w:jc w:val="left"/>
    </w:pPr>
    <w:rPr>
      <w:szCs w:val="24"/>
    </w:rPr>
  </w:style>
  <w:style w:type="character" w:customStyle="1" w:styleId="UnresolvedMention1">
    <w:name w:val="Unresolved Mention1"/>
    <w:basedOn w:val="DefaultParagraphFont"/>
    <w:uiPriority w:val="99"/>
    <w:semiHidden/>
    <w:unhideWhenUsed/>
    <w:rsid w:val="00F452C9"/>
    <w:rPr>
      <w:color w:val="605E5C"/>
      <w:shd w:val="clear" w:color="auto" w:fill="E1DFDD"/>
    </w:rPr>
  </w:style>
  <w:style w:type="character" w:customStyle="1" w:styleId="fontstyle01">
    <w:name w:val="fontstyle01"/>
    <w:basedOn w:val="DefaultParagraphFont"/>
    <w:rsid w:val="00F452C9"/>
    <w:rPr>
      <w:rFonts w:ascii="Calibri-Italic" w:hAnsi="Calibri-Italic" w:hint="default"/>
      <w:b w:val="0"/>
      <w:bCs w:val="0"/>
      <w:i/>
      <w:iCs/>
      <w:color w:val="000000"/>
      <w:sz w:val="18"/>
      <w:szCs w:val="18"/>
    </w:rPr>
  </w:style>
  <w:style w:type="paragraph" w:customStyle="1" w:styleId="TITOLO1">
    <w:name w:val="TITOLO 1"/>
    <w:basedOn w:val="Normal"/>
    <w:link w:val="TITOLO1Carattere"/>
    <w:qFormat/>
    <w:rsid w:val="00F452C9"/>
    <w:pPr>
      <w:jc w:val="left"/>
    </w:pPr>
    <w:rPr>
      <w:rFonts w:eastAsia="Calibri"/>
      <w:szCs w:val="24"/>
    </w:rPr>
  </w:style>
  <w:style w:type="character" w:customStyle="1" w:styleId="TITOLO1Carattere">
    <w:name w:val="TITOLO 1 Carattere"/>
    <w:basedOn w:val="DefaultParagraphFont"/>
    <w:link w:val="TITOLO1"/>
    <w:rsid w:val="00F452C9"/>
    <w:rPr>
      <w:rFonts w:eastAsia="Calibri"/>
      <w:sz w:val="24"/>
      <w:szCs w:val="24"/>
    </w:rPr>
  </w:style>
  <w:style w:type="character" w:styleId="FollowedHyperlink">
    <w:name w:val="FollowedHyperlink"/>
    <w:basedOn w:val="DefaultParagraphFont"/>
    <w:uiPriority w:val="99"/>
    <w:semiHidden/>
    <w:unhideWhenUsed/>
    <w:rsid w:val="00F452C9"/>
    <w:rPr>
      <w:color w:val="954F72" w:themeColor="followedHyperlink"/>
      <w:u w:val="single"/>
    </w:rPr>
  </w:style>
  <w:style w:type="character" w:styleId="BookTitle">
    <w:name w:val="Book Title"/>
    <w:basedOn w:val="DefaultParagraphFont"/>
    <w:uiPriority w:val="33"/>
    <w:qFormat/>
    <w:rsid w:val="00F452C9"/>
    <w:rPr>
      <w:b/>
      <w:bCs/>
      <w:i/>
      <w:iCs/>
      <w:spacing w:val="5"/>
    </w:rPr>
  </w:style>
  <w:style w:type="character" w:customStyle="1" w:styleId="Menzionenonrisolta3">
    <w:name w:val="Menzione non risolta3"/>
    <w:basedOn w:val="DefaultParagraphFont"/>
    <w:uiPriority w:val="99"/>
    <w:semiHidden/>
    <w:unhideWhenUsed/>
    <w:rsid w:val="0004145D"/>
    <w:rPr>
      <w:color w:val="605E5C"/>
      <w:shd w:val="clear" w:color="auto" w:fill="E1DFDD"/>
    </w:rPr>
  </w:style>
  <w:style w:type="character" w:styleId="UnresolvedMention">
    <w:name w:val="Unresolved Mention"/>
    <w:basedOn w:val="DefaultParagraphFont"/>
    <w:uiPriority w:val="99"/>
    <w:semiHidden/>
    <w:unhideWhenUsed/>
    <w:rsid w:val="007E29A4"/>
    <w:rPr>
      <w:color w:val="605E5C"/>
      <w:shd w:val="clear" w:color="auto" w:fill="E1DFDD"/>
    </w:rPr>
  </w:style>
  <w:style w:type="character" w:customStyle="1" w:styleId="apple-converted-space">
    <w:name w:val="apple-converted-space"/>
    <w:basedOn w:val="DefaultParagraphFont"/>
    <w:rsid w:val="00EF2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79196">
      <w:bodyDiv w:val="1"/>
      <w:marLeft w:val="0"/>
      <w:marRight w:val="0"/>
      <w:marTop w:val="0"/>
      <w:marBottom w:val="0"/>
      <w:divBdr>
        <w:top w:val="none" w:sz="0" w:space="0" w:color="auto"/>
        <w:left w:val="none" w:sz="0" w:space="0" w:color="auto"/>
        <w:bottom w:val="none" w:sz="0" w:space="0" w:color="auto"/>
        <w:right w:val="none" w:sz="0" w:space="0" w:color="auto"/>
      </w:divBdr>
    </w:div>
    <w:div w:id="28838780">
      <w:bodyDiv w:val="1"/>
      <w:marLeft w:val="0"/>
      <w:marRight w:val="0"/>
      <w:marTop w:val="0"/>
      <w:marBottom w:val="0"/>
      <w:divBdr>
        <w:top w:val="none" w:sz="0" w:space="0" w:color="auto"/>
        <w:left w:val="none" w:sz="0" w:space="0" w:color="auto"/>
        <w:bottom w:val="none" w:sz="0" w:space="0" w:color="auto"/>
        <w:right w:val="none" w:sz="0" w:space="0" w:color="auto"/>
      </w:divBdr>
    </w:div>
    <w:div w:id="93982762">
      <w:bodyDiv w:val="1"/>
      <w:marLeft w:val="0"/>
      <w:marRight w:val="0"/>
      <w:marTop w:val="0"/>
      <w:marBottom w:val="0"/>
      <w:divBdr>
        <w:top w:val="none" w:sz="0" w:space="0" w:color="auto"/>
        <w:left w:val="none" w:sz="0" w:space="0" w:color="auto"/>
        <w:bottom w:val="none" w:sz="0" w:space="0" w:color="auto"/>
        <w:right w:val="none" w:sz="0" w:space="0" w:color="auto"/>
      </w:divBdr>
    </w:div>
    <w:div w:id="106512631">
      <w:bodyDiv w:val="1"/>
      <w:marLeft w:val="0"/>
      <w:marRight w:val="0"/>
      <w:marTop w:val="0"/>
      <w:marBottom w:val="0"/>
      <w:divBdr>
        <w:top w:val="none" w:sz="0" w:space="0" w:color="auto"/>
        <w:left w:val="none" w:sz="0" w:space="0" w:color="auto"/>
        <w:bottom w:val="none" w:sz="0" w:space="0" w:color="auto"/>
        <w:right w:val="none" w:sz="0" w:space="0" w:color="auto"/>
      </w:divBdr>
    </w:div>
    <w:div w:id="110898673">
      <w:bodyDiv w:val="1"/>
      <w:marLeft w:val="0"/>
      <w:marRight w:val="0"/>
      <w:marTop w:val="0"/>
      <w:marBottom w:val="0"/>
      <w:divBdr>
        <w:top w:val="none" w:sz="0" w:space="0" w:color="auto"/>
        <w:left w:val="none" w:sz="0" w:space="0" w:color="auto"/>
        <w:bottom w:val="none" w:sz="0" w:space="0" w:color="auto"/>
        <w:right w:val="none" w:sz="0" w:space="0" w:color="auto"/>
      </w:divBdr>
    </w:div>
    <w:div w:id="124471899">
      <w:bodyDiv w:val="1"/>
      <w:marLeft w:val="0"/>
      <w:marRight w:val="0"/>
      <w:marTop w:val="0"/>
      <w:marBottom w:val="0"/>
      <w:divBdr>
        <w:top w:val="none" w:sz="0" w:space="0" w:color="auto"/>
        <w:left w:val="none" w:sz="0" w:space="0" w:color="auto"/>
        <w:bottom w:val="none" w:sz="0" w:space="0" w:color="auto"/>
        <w:right w:val="none" w:sz="0" w:space="0" w:color="auto"/>
      </w:divBdr>
    </w:div>
    <w:div w:id="235090897">
      <w:bodyDiv w:val="1"/>
      <w:marLeft w:val="0"/>
      <w:marRight w:val="0"/>
      <w:marTop w:val="0"/>
      <w:marBottom w:val="0"/>
      <w:divBdr>
        <w:top w:val="none" w:sz="0" w:space="0" w:color="auto"/>
        <w:left w:val="none" w:sz="0" w:space="0" w:color="auto"/>
        <w:bottom w:val="none" w:sz="0" w:space="0" w:color="auto"/>
        <w:right w:val="none" w:sz="0" w:space="0" w:color="auto"/>
      </w:divBdr>
    </w:div>
    <w:div w:id="252475386">
      <w:bodyDiv w:val="1"/>
      <w:marLeft w:val="0"/>
      <w:marRight w:val="0"/>
      <w:marTop w:val="0"/>
      <w:marBottom w:val="0"/>
      <w:divBdr>
        <w:top w:val="none" w:sz="0" w:space="0" w:color="auto"/>
        <w:left w:val="none" w:sz="0" w:space="0" w:color="auto"/>
        <w:bottom w:val="none" w:sz="0" w:space="0" w:color="auto"/>
        <w:right w:val="none" w:sz="0" w:space="0" w:color="auto"/>
      </w:divBdr>
    </w:div>
    <w:div w:id="271209294">
      <w:bodyDiv w:val="1"/>
      <w:marLeft w:val="0"/>
      <w:marRight w:val="0"/>
      <w:marTop w:val="0"/>
      <w:marBottom w:val="0"/>
      <w:divBdr>
        <w:top w:val="none" w:sz="0" w:space="0" w:color="auto"/>
        <w:left w:val="none" w:sz="0" w:space="0" w:color="auto"/>
        <w:bottom w:val="none" w:sz="0" w:space="0" w:color="auto"/>
        <w:right w:val="none" w:sz="0" w:space="0" w:color="auto"/>
      </w:divBdr>
    </w:div>
    <w:div w:id="288904980">
      <w:bodyDiv w:val="1"/>
      <w:marLeft w:val="0"/>
      <w:marRight w:val="0"/>
      <w:marTop w:val="0"/>
      <w:marBottom w:val="0"/>
      <w:divBdr>
        <w:top w:val="none" w:sz="0" w:space="0" w:color="auto"/>
        <w:left w:val="none" w:sz="0" w:space="0" w:color="auto"/>
        <w:bottom w:val="none" w:sz="0" w:space="0" w:color="auto"/>
        <w:right w:val="none" w:sz="0" w:space="0" w:color="auto"/>
      </w:divBdr>
    </w:div>
    <w:div w:id="323633020">
      <w:bodyDiv w:val="1"/>
      <w:marLeft w:val="0"/>
      <w:marRight w:val="0"/>
      <w:marTop w:val="0"/>
      <w:marBottom w:val="0"/>
      <w:divBdr>
        <w:top w:val="none" w:sz="0" w:space="0" w:color="auto"/>
        <w:left w:val="none" w:sz="0" w:space="0" w:color="auto"/>
        <w:bottom w:val="none" w:sz="0" w:space="0" w:color="auto"/>
        <w:right w:val="none" w:sz="0" w:space="0" w:color="auto"/>
      </w:divBdr>
    </w:div>
    <w:div w:id="333999584">
      <w:bodyDiv w:val="1"/>
      <w:marLeft w:val="0"/>
      <w:marRight w:val="0"/>
      <w:marTop w:val="0"/>
      <w:marBottom w:val="0"/>
      <w:divBdr>
        <w:top w:val="none" w:sz="0" w:space="0" w:color="auto"/>
        <w:left w:val="none" w:sz="0" w:space="0" w:color="auto"/>
        <w:bottom w:val="none" w:sz="0" w:space="0" w:color="auto"/>
        <w:right w:val="none" w:sz="0" w:space="0" w:color="auto"/>
      </w:divBdr>
    </w:div>
    <w:div w:id="337195840">
      <w:bodyDiv w:val="1"/>
      <w:marLeft w:val="0"/>
      <w:marRight w:val="0"/>
      <w:marTop w:val="0"/>
      <w:marBottom w:val="0"/>
      <w:divBdr>
        <w:top w:val="none" w:sz="0" w:space="0" w:color="auto"/>
        <w:left w:val="none" w:sz="0" w:space="0" w:color="auto"/>
        <w:bottom w:val="none" w:sz="0" w:space="0" w:color="auto"/>
        <w:right w:val="none" w:sz="0" w:space="0" w:color="auto"/>
      </w:divBdr>
      <w:divsChild>
        <w:div w:id="252472106">
          <w:marLeft w:val="0"/>
          <w:marRight w:val="0"/>
          <w:marTop w:val="0"/>
          <w:marBottom w:val="0"/>
          <w:divBdr>
            <w:top w:val="none" w:sz="0" w:space="0" w:color="auto"/>
            <w:left w:val="none" w:sz="0" w:space="0" w:color="auto"/>
            <w:bottom w:val="none" w:sz="0" w:space="0" w:color="auto"/>
            <w:right w:val="none" w:sz="0" w:space="0" w:color="auto"/>
          </w:divBdr>
        </w:div>
        <w:div w:id="1171019247">
          <w:marLeft w:val="0"/>
          <w:marRight w:val="0"/>
          <w:marTop w:val="0"/>
          <w:marBottom w:val="0"/>
          <w:divBdr>
            <w:top w:val="none" w:sz="0" w:space="0" w:color="auto"/>
            <w:left w:val="none" w:sz="0" w:space="0" w:color="auto"/>
            <w:bottom w:val="none" w:sz="0" w:space="0" w:color="auto"/>
            <w:right w:val="none" w:sz="0" w:space="0" w:color="auto"/>
          </w:divBdr>
        </w:div>
        <w:div w:id="1173036458">
          <w:marLeft w:val="0"/>
          <w:marRight w:val="0"/>
          <w:marTop w:val="0"/>
          <w:marBottom w:val="0"/>
          <w:divBdr>
            <w:top w:val="none" w:sz="0" w:space="0" w:color="auto"/>
            <w:left w:val="none" w:sz="0" w:space="0" w:color="auto"/>
            <w:bottom w:val="none" w:sz="0" w:space="0" w:color="auto"/>
            <w:right w:val="none" w:sz="0" w:space="0" w:color="auto"/>
          </w:divBdr>
        </w:div>
        <w:div w:id="1658530962">
          <w:marLeft w:val="0"/>
          <w:marRight w:val="0"/>
          <w:marTop w:val="0"/>
          <w:marBottom w:val="0"/>
          <w:divBdr>
            <w:top w:val="none" w:sz="0" w:space="0" w:color="auto"/>
            <w:left w:val="none" w:sz="0" w:space="0" w:color="auto"/>
            <w:bottom w:val="none" w:sz="0" w:space="0" w:color="auto"/>
            <w:right w:val="none" w:sz="0" w:space="0" w:color="auto"/>
          </w:divBdr>
        </w:div>
        <w:div w:id="1758594219">
          <w:marLeft w:val="0"/>
          <w:marRight w:val="0"/>
          <w:marTop w:val="0"/>
          <w:marBottom w:val="0"/>
          <w:divBdr>
            <w:top w:val="none" w:sz="0" w:space="0" w:color="auto"/>
            <w:left w:val="none" w:sz="0" w:space="0" w:color="auto"/>
            <w:bottom w:val="none" w:sz="0" w:space="0" w:color="auto"/>
            <w:right w:val="none" w:sz="0" w:space="0" w:color="auto"/>
          </w:divBdr>
        </w:div>
      </w:divsChild>
    </w:div>
    <w:div w:id="398942326">
      <w:bodyDiv w:val="1"/>
      <w:marLeft w:val="0"/>
      <w:marRight w:val="0"/>
      <w:marTop w:val="0"/>
      <w:marBottom w:val="0"/>
      <w:divBdr>
        <w:top w:val="none" w:sz="0" w:space="0" w:color="auto"/>
        <w:left w:val="none" w:sz="0" w:space="0" w:color="auto"/>
        <w:bottom w:val="none" w:sz="0" w:space="0" w:color="auto"/>
        <w:right w:val="none" w:sz="0" w:space="0" w:color="auto"/>
      </w:divBdr>
    </w:div>
    <w:div w:id="480735315">
      <w:bodyDiv w:val="1"/>
      <w:marLeft w:val="0"/>
      <w:marRight w:val="0"/>
      <w:marTop w:val="0"/>
      <w:marBottom w:val="0"/>
      <w:divBdr>
        <w:top w:val="none" w:sz="0" w:space="0" w:color="auto"/>
        <w:left w:val="none" w:sz="0" w:space="0" w:color="auto"/>
        <w:bottom w:val="none" w:sz="0" w:space="0" w:color="auto"/>
        <w:right w:val="none" w:sz="0" w:space="0" w:color="auto"/>
      </w:divBdr>
    </w:div>
    <w:div w:id="522401443">
      <w:bodyDiv w:val="1"/>
      <w:marLeft w:val="0"/>
      <w:marRight w:val="0"/>
      <w:marTop w:val="0"/>
      <w:marBottom w:val="0"/>
      <w:divBdr>
        <w:top w:val="none" w:sz="0" w:space="0" w:color="auto"/>
        <w:left w:val="none" w:sz="0" w:space="0" w:color="auto"/>
        <w:bottom w:val="none" w:sz="0" w:space="0" w:color="auto"/>
        <w:right w:val="none" w:sz="0" w:space="0" w:color="auto"/>
      </w:divBdr>
    </w:div>
    <w:div w:id="527380353">
      <w:bodyDiv w:val="1"/>
      <w:marLeft w:val="60"/>
      <w:marRight w:val="60"/>
      <w:marTop w:val="60"/>
      <w:marBottom w:val="15"/>
      <w:divBdr>
        <w:top w:val="none" w:sz="0" w:space="0" w:color="auto"/>
        <w:left w:val="none" w:sz="0" w:space="0" w:color="auto"/>
        <w:bottom w:val="none" w:sz="0" w:space="0" w:color="auto"/>
        <w:right w:val="none" w:sz="0" w:space="0" w:color="auto"/>
      </w:divBdr>
      <w:divsChild>
        <w:div w:id="7877030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73871721">
              <w:marLeft w:val="0"/>
              <w:marRight w:val="0"/>
              <w:marTop w:val="0"/>
              <w:marBottom w:val="0"/>
              <w:divBdr>
                <w:top w:val="none" w:sz="0" w:space="0" w:color="auto"/>
                <w:left w:val="none" w:sz="0" w:space="0" w:color="auto"/>
                <w:bottom w:val="none" w:sz="0" w:space="0" w:color="auto"/>
                <w:right w:val="none" w:sz="0" w:space="0" w:color="auto"/>
              </w:divBdr>
              <w:divsChild>
                <w:div w:id="993679631">
                  <w:marLeft w:val="0"/>
                  <w:marRight w:val="0"/>
                  <w:marTop w:val="0"/>
                  <w:marBottom w:val="0"/>
                  <w:divBdr>
                    <w:top w:val="none" w:sz="0" w:space="0" w:color="auto"/>
                    <w:left w:val="none" w:sz="0" w:space="0" w:color="auto"/>
                    <w:bottom w:val="none" w:sz="0" w:space="0" w:color="auto"/>
                    <w:right w:val="none" w:sz="0" w:space="0" w:color="auto"/>
                  </w:divBdr>
                  <w:divsChild>
                    <w:div w:id="118888145">
                      <w:marLeft w:val="0"/>
                      <w:marRight w:val="0"/>
                      <w:marTop w:val="0"/>
                      <w:marBottom w:val="0"/>
                      <w:divBdr>
                        <w:top w:val="none" w:sz="0" w:space="0" w:color="auto"/>
                        <w:left w:val="none" w:sz="0" w:space="0" w:color="auto"/>
                        <w:bottom w:val="none" w:sz="0" w:space="0" w:color="auto"/>
                        <w:right w:val="none" w:sz="0" w:space="0" w:color="auto"/>
                      </w:divBdr>
                    </w:div>
                    <w:div w:id="197277268">
                      <w:marLeft w:val="0"/>
                      <w:marRight w:val="0"/>
                      <w:marTop w:val="0"/>
                      <w:marBottom w:val="0"/>
                      <w:divBdr>
                        <w:top w:val="none" w:sz="0" w:space="0" w:color="auto"/>
                        <w:left w:val="none" w:sz="0" w:space="0" w:color="auto"/>
                        <w:bottom w:val="none" w:sz="0" w:space="0" w:color="auto"/>
                        <w:right w:val="none" w:sz="0" w:space="0" w:color="auto"/>
                      </w:divBdr>
                    </w:div>
                    <w:div w:id="218980954">
                      <w:marLeft w:val="0"/>
                      <w:marRight w:val="0"/>
                      <w:marTop w:val="0"/>
                      <w:marBottom w:val="0"/>
                      <w:divBdr>
                        <w:top w:val="none" w:sz="0" w:space="0" w:color="auto"/>
                        <w:left w:val="none" w:sz="0" w:space="0" w:color="auto"/>
                        <w:bottom w:val="none" w:sz="0" w:space="0" w:color="auto"/>
                        <w:right w:val="none" w:sz="0" w:space="0" w:color="auto"/>
                      </w:divBdr>
                    </w:div>
                    <w:div w:id="242493734">
                      <w:marLeft w:val="0"/>
                      <w:marRight w:val="0"/>
                      <w:marTop w:val="0"/>
                      <w:marBottom w:val="0"/>
                      <w:divBdr>
                        <w:top w:val="none" w:sz="0" w:space="0" w:color="auto"/>
                        <w:left w:val="none" w:sz="0" w:space="0" w:color="auto"/>
                        <w:bottom w:val="none" w:sz="0" w:space="0" w:color="auto"/>
                        <w:right w:val="none" w:sz="0" w:space="0" w:color="auto"/>
                      </w:divBdr>
                    </w:div>
                    <w:div w:id="295718139">
                      <w:marLeft w:val="0"/>
                      <w:marRight w:val="0"/>
                      <w:marTop w:val="0"/>
                      <w:marBottom w:val="0"/>
                      <w:divBdr>
                        <w:top w:val="none" w:sz="0" w:space="0" w:color="auto"/>
                        <w:left w:val="none" w:sz="0" w:space="0" w:color="auto"/>
                        <w:bottom w:val="none" w:sz="0" w:space="0" w:color="auto"/>
                        <w:right w:val="none" w:sz="0" w:space="0" w:color="auto"/>
                      </w:divBdr>
                    </w:div>
                    <w:div w:id="370571282">
                      <w:marLeft w:val="0"/>
                      <w:marRight w:val="0"/>
                      <w:marTop w:val="0"/>
                      <w:marBottom w:val="0"/>
                      <w:divBdr>
                        <w:top w:val="none" w:sz="0" w:space="0" w:color="auto"/>
                        <w:left w:val="none" w:sz="0" w:space="0" w:color="auto"/>
                        <w:bottom w:val="none" w:sz="0" w:space="0" w:color="auto"/>
                        <w:right w:val="none" w:sz="0" w:space="0" w:color="auto"/>
                      </w:divBdr>
                    </w:div>
                    <w:div w:id="395662424">
                      <w:marLeft w:val="0"/>
                      <w:marRight w:val="0"/>
                      <w:marTop w:val="0"/>
                      <w:marBottom w:val="0"/>
                      <w:divBdr>
                        <w:top w:val="none" w:sz="0" w:space="0" w:color="auto"/>
                        <w:left w:val="none" w:sz="0" w:space="0" w:color="auto"/>
                        <w:bottom w:val="none" w:sz="0" w:space="0" w:color="auto"/>
                        <w:right w:val="none" w:sz="0" w:space="0" w:color="auto"/>
                      </w:divBdr>
                    </w:div>
                    <w:div w:id="404451095">
                      <w:marLeft w:val="0"/>
                      <w:marRight w:val="0"/>
                      <w:marTop w:val="0"/>
                      <w:marBottom w:val="0"/>
                      <w:divBdr>
                        <w:top w:val="none" w:sz="0" w:space="0" w:color="auto"/>
                        <w:left w:val="none" w:sz="0" w:space="0" w:color="auto"/>
                        <w:bottom w:val="none" w:sz="0" w:space="0" w:color="auto"/>
                        <w:right w:val="none" w:sz="0" w:space="0" w:color="auto"/>
                      </w:divBdr>
                    </w:div>
                    <w:div w:id="425351344">
                      <w:marLeft w:val="0"/>
                      <w:marRight w:val="0"/>
                      <w:marTop w:val="0"/>
                      <w:marBottom w:val="0"/>
                      <w:divBdr>
                        <w:top w:val="none" w:sz="0" w:space="0" w:color="auto"/>
                        <w:left w:val="none" w:sz="0" w:space="0" w:color="auto"/>
                        <w:bottom w:val="none" w:sz="0" w:space="0" w:color="auto"/>
                        <w:right w:val="none" w:sz="0" w:space="0" w:color="auto"/>
                      </w:divBdr>
                    </w:div>
                    <w:div w:id="443765691">
                      <w:marLeft w:val="0"/>
                      <w:marRight w:val="0"/>
                      <w:marTop w:val="0"/>
                      <w:marBottom w:val="0"/>
                      <w:divBdr>
                        <w:top w:val="none" w:sz="0" w:space="0" w:color="auto"/>
                        <w:left w:val="none" w:sz="0" w:space="0" w:color="auto"/>
                        <w:bottom w:val="none" w:sz="0" w:space="0" w:color="auto"/>
                        <w:right w:val="none" w:sz="0" w:space="0" w:color="auto"/>
                      </w:divBdr>
                    </w:div>
                    <w:div w:id="636110531">
                      <w:marLeft w:val="0"/>
                      <w:marRight w:val="0"/>
                      <w:marTop w:val="0"/>
                      <w:marBottom w:val="0"/>
                      <w:divBdr>
                        <w:top w:val="none" w:sz="0" w:space="0" w:color="auto"/>
                        <w:left w:val="none" w:sz="0" w:space="0" w:color="auto"/>
                        <w:bottom w:val="none" w:sz="0" w:space="0" w:color="auto"/>
                        <w:right w:val="none" w:sz="0" w:space="0" w:color="auto"/>
                      </w:divBdr>
                    </w:div>
                    <w:div w:id="718211617">
                      <w:marLeft w:val="0"/>
                      <w:marRight w:val="0"/>
                      <w:marTop w:val="0"/>
                      <w:marBottom w:val="0"/>
                      <w:divBdr>
                        <w:top w:val="none" w:sz="0" w:space="0" w:color="auto"/>
                        <w:left w:val="none" w:sz="0" w:space="0" w:color="auto"/>
                        <w:bottom w:val="none" w:sz="0" w:space="0" w:color="auto"/>
                        <w:right w:val="none" w:sz="0" w:space="0" w:color="auto"/>
                      </w:divBdr>
                    </w:div>
                    <w:div w:id="786706067">
                      <w:marLeft w:val="0"/>
                      <w:marRight w:val="0"/>
                      <w:marTop w:val="0"/>
                      <w:marBottom w:val="0"/>
                      <w:divBdr>
                        <w:top w:val="none" w:sz="0" w:space="0" w:color="auto"/>
                        <w:left w:val="none" w:sz="0" w:space="0" w:color="auto"/>
                        <w:bottom w:val="none" w:sz="0" w:space="0" w:color="auto"/>
                        <w:right w:val="none" w:sz="0" w:space="0" w:color="auto"/>
                      </w:divBdr>
                    </w:div>
                    <w:div w:id="935208139">
                      <w:marLeft w:val="0"/>
                      <w:marRight w:val="0"/>
                      <w:marTop w:val="0"/>
                      <w:marBottom w:val="0"/>
                      <w:divBdr>
                        <w:top w:val="none" w:sz="0" w:space="0" w:color="auto"/>
                        <w:left w:val="none" w:sz="0" w:space="0" w:color="auto"/>
                        <w:bottom w:val="none" w:sz="0" w:space="0" w:color="auto"/>
                        <w:right w:val="none" w:sz="0" w:space="0" w:color="auto"/>
                      </w:divBdr>
                    </w:div>
                    <w:div w:id="1118531261">
                      <w:marLeft w:val="0"/>
                      <w:marRight w:val="0"/>
                      <w:marTop w:val="0"/>
                      <w:marBottom w:val="0"/>
                      <w:divBdr>
                        <w:top w:val="none" w:sz="0" w:space="0" w:color="auto"/>
                        <w:left w:val="none" w:sz="0" w:space="0" w:color="auto"/>
                        <w:bottom w:val="none" w:sz="0" w:space="0" w:color="auto"/>
                        <w:right w:val="none" w:sz="0" w:space="0" w:color="auto"/>
                      </w:divBdr>
                    </w:div>
                    <w:div w:id="1129013779">
                      <w:marLeft w:val="0"/>
                      <w:marRight w:val="0"/>
                      <w:marTop w:val="0"/>
                      <w:marBottom w:val="0"/>
                      <w:divBdr>
                        <w:top w:val="none" w:sz="0" w:space="0" w:color="auto"/>
                        <w:left w:val="none" w:sz="0" w:space="0" w:color="auto"/>
                        <w:bottom w:val="none" w:sz="0" w:space="0" w:color="auto"/>
                        <w:right w:val="none" w:sz="0" w:space="0" w:color="auto"/>
                      </w:divBdr>
                    </w:div>
                    <w:div w:id="1159809215">
                      <w:marLeft w:val="0"/>
                      <w:marRight w:val="0"/>
                      <w:marTop w:val="0"/>
                      <w:marBottom w:val="0"/>
                      <w:divBdr>
                        <w:top w:val="none" w:sz="0" w:space="0" w:color="auto"/>
                        <w:left w:val="none" w:sz="0" w:space="0" w:color="auto"/>
                        <w:bottom w:val="none" w:sz="0" w:space="0" w:color="auto"/>
                        <w:right w:val="none" w:sz="0" w:space="0" w:color="auto"/>
                      </w:divBdr>
                    </w:div>
                    <w:div w:id="1196188716">
                      <w:marLeft w:val="0"/>
                      <w:marRight w:val="0"/>
                      <w:marTop w:val="0"/>
                      <w:marBottom w:val="0"/>
                      <w:divBdr>
                        <w:top w:val="none" w:sz="0" w:space="0" w:color="auto"/>
                        <w:left w:val="none" w:sz="0" w:space="0" w:color="auto"/>
                        <w:bottom w:val="none" w:sz="0" w:space="0" w:color="auto"/>
                        <w:right w:val="none" w:sz="0" w:space="0" w:color="auto"/>
                      </w:divBdr>
                    </w:div>
                    <w:div w:id="1204366974">
                      <w:marLeft w:val="0"/>
                      <w:marRight w:val="0"/>
                      <w:marTop w:val="0"/>
                      <w:marBottom w:val="0"/>
                      <w:divBdr>
                        <w:top w:val="none" w:sz="0" w:space="0" w:color="auto"/>
                        <w:left w:val="none" w:sz="0" w:space="0" w:color="auto"/>
                        <w:bottom w:val="none" w:sz="0" w:space="0" w:color="auto"/>
                        <w:right w:val="none" w:sz="0" w:space="0" w:color="auto"/>
                      </w:divBdr>
                    </w:div>
                    <w:div w:id="1347750212">
                      <w:marLeft w:val="0"/>
                      <w:marRight w:val="0"/>
                      <w:marTop w:val="0"/>
                      <w:marBottom w:val="0"/>
                      <w:divBdr>
                        <w:top w:val="none" w:sz="0" w:space="0" w:color="auto"/>
                        <w:left w:val="none" w:sz="0" w:space="0" w:color="auto"/>
                        <w:bottom w:val="none" w:sz="0" w:space="0" w:color="auto"/>
                        <w:right w:val="none" w:sz="0" w:space="0" w:color="auto"/>
                      </w:divBdr>
                    </w:div>
                    <w:div w:id="1497187709">
                      <w:marLeft w:val="0"/>
                      <w:marRight w:val="0"/>
                      <w:marTop w:val="0"/>
                      <w:marBottom w:val="0"/>
                      <w:divBdr>
                        <w:top w:val="none" w:sz="0" w:space="0" w:color="auto"/>
                        <w:left w:val="none" w:sz="0" w:space="0" w:color="auto"/>
                        <w:bottom w:val="none" w:sz="0" w:space="0" w:color="auto"/>
                        <w:right w:val="none" w:sz="0" w:space="0" w:color="auto"/>
                      </w:divBdr>
                    </w:div>
                    <w:div w:id="1578637947">
                      <w:marLeft w:val="0"/>
                      <w:marRight w:val="0"/>
                      <w:marTop w:val="0"/>
                      <w:marBottom w:val="0"/>
                      <w:divBdr>
                        <w:top w:val="none" w:sz="0" w:space="0" w:color="auto"/>
                        <w:left w:val="none" w:sz="0" w:space="0" w:color="auto"/>
                        <w:bottom w:val="none" w:sz="0" w:space="0" w:color="auto"/>
                        <w:right w:val="none" w:sz="0" w:space="0" w:color="auto"/>
                      </w:divBdr>
                    </w:div>
                    <w:div w:id="1607693097">
                      <w:marLeft w:val="0"/>
                      <w:marRight w:val="0"/>
                      <w:marTop w:val="0"/>
                      <w:marBottom w:val="0"/>
                      <w:divBdr>
                        <w:top w:val="none" w:sz="0" w:space="0" w:color="auto"/>
                        <w:left w:val="none" w:sz="0" w:space="0" w:color="auto"/>
                        <w:bottom w:val="none" w:sz="0" w:space="0" w:color="auto"/>
                        <w:right w:val="none" w:sz="0" w:space="0" w:color="auto"/>
                      </w:divBdr>
                    </w:div>
                    <w:div w:id="1675256274">
                      <w:marLeft w:val="0"/>
                      <w:marRight w:val="0"/>
                      <w:marTop w:val="0"/>
                      <w:marBottom w:val="0"/>
                      <w:divBdr>
                        <w:top w:val="none" w:sz="0" w:space="0" w:color="auto"/>
                        <w:left w:val="none" w:sz="0" w:space="0" w:color="auto"/>
                        <w:bottom w:val="none" w:sz="0" w:space="0" w:color="auto"/>
                        <w:right w:val="none" w:sz="0" w:space="0" w:color="auto"/>
                      </w:divBdr>
                    </w:div>
                    <w:div w:id="1696343343">
                      <w:marLeft w:val="0"/>
                      <w:marRight w:val="0"/>
                      <w:marTop w:val="0"/>
                      <w:marBottom w:val="0"/>
                      <w:divBdr>
                        <w:top w:val="none" w:sz="0" w:space="0" w:color="auto"/>
                        <w:left w:val="none" w:sz="0" w:space="0" w:color="auto"/>
                        <w:bottom w:val="none" w:sz="0" w:space="0" w:color="auto"/>
                        <w:right w:val="none" w:sz="0" w:space="0" w:color="auto"/>
                      </w:divBdr>
                    </w:div>
                    <w:div w:id="1704819612">
                      <w:marLeft w:val="0"/>
                      <w:marRight w:val="0"/>
                      <w:marTop w:val="0"/>
                      <w:marBottom w:val="0"/>
                      <w:divBdr>
                        <w:top w:val="none" w:sz="0" w:space="0" w:color="auto"/>
                        <w:left w:val="none" w:sz="0" w:space="0" w:color="auto"/>
                        <w:bottom w:val="none" w:sz="0" w:space="0" w:color="auto"/>
                        <w:right w:val="none" w:sz="0" w:space="0" w:color="auto"/>
                      </w:divBdr>
                    </w:div>
                    <w:div w:id="1744139266">
                      <w:marLeft w:val="0"/>
                      <w:marRight w:val="0"/>
                      <w:marTop w:val="0"/>
                      <w:marBottom w:val="0"/>
                      <w:divBdr>
                        <w:top w:val="none" w:sz="0" w:space="0" w:color="auto"/>
                        <w:left w:val="none" w:sz="0" w:space="0" w:color="auto"/>
                        <w:bottom w:val="none" w:sz="0" w:space="0" w:color="auto"/>
                        <w:right w:val="none" w:sz="0" w:space="0" w:color="auto"/>
                      </w:divBdr>
                    </w:div>
                    <w:div w:id="1749182822">
                      <w:marLeft w:val="0"/>
                      <w:marRight w:val="0"/>
                      <w:marTop w:val="0"/>
                      <w:marBottom w:val="0"/>
                      <w:divBdr>
                        <w:top w:val="none" w:sz="0" w:space="0" w:color="auto"/>
                        <w:left w:val="none" w:sz="0" w:space="0" w:color="auto"/>
                        <w:bottom w:val="none" w:sz="0" w:space="0" w:color="auto"/>
                        <w:right w:val="none" w:sz="0" w:space="0" w:color="auto"/>
                      </w:divBdr>
                    </w:div>
                    <w:div w:id="1818377946">
                      <w:marLeft w:val="0"/>
                      <w:marRight w:val="0"/>
                      <w:marTop w:val="0"/>
                      <w:marBottom w:val="0"/>
                      <w:divBdr>
                        <w:top w:val="none" w:sz="0" w:space="0" w:color="auto"/>
                        <w:left w:val="none" w:sz="0" w:space="0" w:color="auto"/>
                        <w:bottom w:val="none" w:sz="0" w:space="0" w:color="auto"/>
                        <w:right w:val="none" w:sz="0" w:space="0" w:color="auto"/>
                      </w:divBdr>
                    </w:div>
                    <w:div w:id="1880363467">
                      <w:marLeft w:val="0"/>
                      <w:marRight w:val="0"/>
                      <w:marTop w:val="0"/>
                      <w:marBottom w:val="0"/>
                      <w:divBdr>
                        <w:top w:val="none" w:sz="0" w:space="0" w:color="auto"/>
                        <w:left w:val="none" w:sz="0" w:space="0" w:color="auto"/>
                        <w:bottom w:val="none" w:sz="0" w:space="0" w:color="auto"/>
                        <w:right w:val="none" w:sz="0" w:space="0" w:color="auto"/>
                      </w:divBdr>
                    </w:div>
                    <w:div w:id="1961305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1888869">
      <w:bodyDiv w:val="1"/>
      <w:marLeft w:val="0"/>
      <w:marRight w:val="0"/>
      <w:marTop w:val="0"/>
      <w:marBottom w:val="0"/>
      <w:divBdr>
        <w:top w:val="none" w:sz="0" w:space="0" w:color="auto"/>
        <w:left w:val="none" w:sz="0" w:space="0" w:color="auto"/>
        <w:bottom w:val="none" w:sz="0" w:space="0" w:color="auto"/>
        <w:right w:val="none" w:sz="0" w:space="0" w:color="auto"/>
      </w:divBdr>
    </w:div>
    <w:div w:id="552038650">
      <w:bodyDiv w:val="1"/>
      <w:marLeft w:val="0"/>
      <w:marRight w:val="0"/>
      <w:marTop w:val="0"/>
      <w:marBottom w:val="0"/>
      <w:divBdr>
        <w:top w:val="none" w:sz="0" w:space="0" w:color="auto"/>
        <w:left w:val="none" w:sz="0" w:space="0" w:color="auto"/>
        <w:bottom w:val="none" w:sz="0" w:space="0" w:color="auto"/>
        <w:right w:val="none" w:sz="0" w:space="0" w:color="auto"/>
      </w:divBdr>
    </w:div>
    <w:div w:id="569655764">
      <w:bodyDiv w:val="1"/>
      <w:marLeft w:val="0"/>
      <w:marRight w:val="0"/>
      <w:marTop w:val="0"/>
      <w:marBottom w:val="0"/>
      <w:divBdr>
        <w:top w:val="none" w:sz="0" w:space="0" w:color="auto"/>
        <w:left w:val="none" w:sz="0" w:space="0" w:color="auto"/>
        <w:bottom w:val="none" w:sz="0" w:space="0" w:color="auto"/>
        <w:right w:val="none" w:sz="0" w:space="0" w:color="auto"/>
      </w:divBdr>
    </w:div>
    <w:div w:id="579293285">
      <w:bodyDiv w:val="1"/>
      <w:marLeft w:val="0"/>
      <w:marRight w:val="0"/>
      <w:marTop w:val="0"/>
      <w:marBottom w:val="0"/>
      <w:divBdr>
        <w:top w:val="none" w:sz="0" w:space="0" w:color="auto"/>
        <w:left w:val="none" w:sz="0" w:space="0" w:color="auto"/>
        <w:bottom w:val="none" w:sz="0" w:space="0" w:color="auto"/>
        <w:right w:val="none" w:sz="0" w:space="0" w:color="auto"/>
      </w:divBdr>
    </w:div>
    <w:div w:id="606620971">
      <w:bodyDiv w:val="1"/>
      <w:marLeft w:val="0"/>
      <w:marRight w:val="0"/>
      <w:marTop w:val="0"/>
      <w:marBottom w:val="0"/>
      <w:divBdr>
        <w:top w:val="none" w:sz="0" w:space="0" w:color="auto"/>
        <w:left w:val="none" w:sz="0" w:space="0" w:color="auto"/>
        <w:bottom w:val="none" w:sz="0" w:space="0" w:color="auto"/>
        <w:right w:val="none" w:sz="0" w:space="0" w:color="auto"/>
      </w:divBdr>
    </w:div>
    <w:div w:id="619259962">
      <w:bodyDiv w:val="1"/>
      <w:marLeft w:val="0"/>
      <w:marRight w:val="0"/>
      <w:marTop w:val="0"/>
      <w:marBottom w:val="0"/>
      <w:divBdr>
        <w:top w:val="none" w:sz="0" w:space="0" w:color="auto"/>
        <w:left w:val="none" w:sz="0" w:space="0" w:color="auto"/>
        <w:bottom w:val="none" w:sz="0" w:space="0" w:color="auto"/>
        <w:right w:val="none" w:sz="0" w:space="0" w:color="auto"/>
      </w:divBdr>
    </w:div>
    <w:div w:id="670304030">
      <w:bodyDiv w:val="1"/>
      <w:marLeft w:val="0"/>
      <w:marRight w:val="0"/>
      <w:marTop w:val="0"/>
      <w:marBottom w:val="0"/>
      <w:divBdr>
        <w:top w:val="none" w:sz="0" w:space="0" w:color="auto"/>
        <w:left w:val="none" w:sz="0" w:space="0" w:color="auto"/>
        <w:bottom w:val="none" w:sz="0" w:space="0" w:color="auto"/>
        <w:right w:val="none" w:sz="0" w:space="0" w:color="auto"/>
      </w:divBdr>
    </w:div>
    <w:div w:id="711541801">
      <w:bodyDiv w:val="1"/>
      <w:marLeft w:val="0"/>
      <w:marRight w:val="0"/>
      <w:marTop w:val="0"/>
      <w:marBottom w:val="0"/>
      <w:divBdr>
        <w:top w:val="none" w:sz="0" w:space="0" w:color="auto"/>
        <w:left w:val="none" w:sz="0" w:space="0" w:color="auto"/>
        <w:bottom w:val="none" w:sz="0" w:space="0" w:color="auto"/>
        <w:right w:val="none" w:sz="0" w:space="0" w:color="auto"/>
      </w:divBdr>
      <w:divsChild>
        <w:div w:id="140924208">
          <w:marLeft w:val="0"/>
          <w:marRight w:val="0"/>
          <w:marTop w:val="0"/>
          <w:marBottom w:val="0"/>
          <w:divBdr>
            <w:top w:val="none" w:sz="0" w:space="0" w:color="auto"/>
            <w:left w:val="none" w:sz="0" w:space="0" w:color="auto"/>
            <w:bottom w:val="none" w:sz="0" w:space="0" w:color="auto"/>
            <w:right w:val="none" w:sz="0" w:space="0" w:color="auto"/>
          </w:divBdr>
        </w:div>
        <w:div w:id="375929827">
          <w:marLeft w:val="0"/>
          <w:marRight w:val="0"/>
          <w:marTop w:val="0"/>
          <w:marBottom w:val="0"/>
          <w:divBdr>
            <w:top w:val="none" w:sz="0" w:space="0" w:color="auto"/>
            <w:left w:val="none" w:sz="0" w:space="0" w:color="auto"/>
            <w:bottom w:val="none" w:sz="0" w:space="0" w:color="auto"/>
            <w:right w:val="none" w:sz="0" w:space="0" w:color="auto"/>
          </w:divBdr>
        </w:div>
        <w:div w:id="674891118">
          <w:marLeft w:val="0"/>
          <w:marRight w:val="0"/>
          <w:marTop w:val="0"/>
          <w:marBottom w:val="0"/>
          <w:divBdr>
            <w:top w:val="none" w:sz="0" w:space="0" w:color="auto"/>
            <w:left w:val="none" w:sz="0" w:space="0" w:color="auto"/>
            <w:bottom w:val="none" w:sz="0" w:space="0" w:color="auto"/>
            <w:right w:val="none" w:sz="0" w:space="0" w:color="auto"/>
          </w:divBdr>
        </w:div>
        <w:div w:id="972059360">
          <w:marLeft w:val="0"/>
          <w:marRight w:val="0"/>
          <w:marTop w:val="0"/>
          <w:marBottom w:val="0"/>
          <w:divBdr>
            <w:top w:val="none" w:sz="0" w:space="0" w:color="auto"/>
            <w:left w:val="none" w:sz="0" w:space="0" w:color="auto"/>
            <w:bottom w:val="none" w:sz="0" w:space="0" w:color="auto"/>
            <w:right w:val="none" w:sz="0" w:space="0" w:color="auto"/>
          </w:divBdr>
        </w:div>
        <w:div w:id="1348748709">
          <w:marLeft w:val="0"/>
          <w:marRight w:val="0"/>
          <w:marTop w:val="0"/>
          <w:marBottom w:val="0"/>
          <w:divBdr>
            <w:top w:val="none" w:sz="0" w:space="0" w:color="auto"/>
            <w:left w:val="none" w:sz="0" w:space="0" w:color="auto"/>
            <w:bottom w:val="none" w:sz="0" w:space="0" w:color="auto"/>
            <w:right w:val="none" w:sz="0" w:space="0" w:color="auto"/>
          </w:divBdr>
        </w:div>
        <w:div w:id="1622833749">
          <w:marLeft w:val="0"/>
          <w:marRight w:val="0"/>
          <w:marTop w:val="0"/>
          <w:marBottom w:val="0"/>
          <w:divBdr>
            <w:top w:val="none" w:sz="0" w:space="0" w:color="auto"/>
            <w:left w:val="none" w:sz="0" w:space="0" w:color="auto"/>
            <w:bottom w:val="none" w:sz="0" w:space="0" w:color="auto"/>
            <w:right w:val="none" w:sz="0" w:space="0" w:color="auto"/>
          </w:divBdr>
        </w:div>
        <w:div w:id="1650207843">
          <w:marLeft w:val="0"/>
          <w:marRight w:val="0"/>
          <w:marTop w:val="0"/>
          <w:marBottom w:val="0"/>
          <w:divBdr>
            <w:top w:val="none" w:sz="0" w:space="0" w:color="auto"/>
            <w:left w:val="none" w:sz="0" w:space="0" w:color="auto"/>
            <w:bottom w:val="none" w:sz="0" w:space="0" w:color="auto"/>
            <w:right w:val="none" w:sz="0" w:space="0" w:color="auto"/>
          </w:divBdr>
        </w:div>
        <w:div w:id="1736929861">
          <w:marLeft w:val="0"/>
          <w:marRight w:val="0"/>
          <w:marTop w:val="0"/>
          <w:marBottom w:val="0"/>
          <w:divBdr>
            <w:top w:val="none" w:sz="0" w:space="0" w:color="auto"/>
            <w:left w:val="none" w:sz="0" w:space="0" w:color="auto"/>
            <w:bottom w:val="none" w:sz="0" w:space="0" w:color="auto"/>
            <w:right w:val="none" w:sz="0" w:space="0" w:color="auto"/>
          </w:divBdr>
        </w:div>
        <w:div w:id="1840928600">
          <w:marLeft w:val="0"/>
          <w:marRight w:val="0"/>
          <w:marTop w:val="0"/>
          <w:marBottom w:val="0"/>
          <w:divBdr>
            <w:top w:val="none" w:sz="0" w:space="0" w:color="auto"/>
            <w:left w:val="none" w:sz="0" w:space="0" w:color="auto"/>
            <w:bottom w:val="none" w:sz="0" w:space="0" w:color="auto"/>
            <w:right w:val="none" w:sz="0" w:space="0" w:color="auto"/>
          </w:divBdr>
        </w:div>
        <w:div w:id="2025016716">
          <w:marLeft w:val="0"/>
          <w:marRight w:val="0"/>
          <w:marTop w:val="0"/>
          <w:marBottom w:val="0"/>
          <w:divBdr>
            <w:top w:val="none" w:sz="0" w:space="0" w:color="auto"/>
            <w:left w:val="none" w:sz="0" w:space="0" w:color="auto"/>
            <w:bottom w:val="none" w:sz="0" w:space="0" w:color="auto"/>
            <w:right w:val="none" w:sz="0" w:space="0" w:color="auto"/>
          </w:divBdr>
        </w:div>
      </w:divsChild>
    </w:div>
    <w:div w:id="736587541">
      <w:bodyDiv w:val="1"/>
      <w:marLeft w:val="0"/>
      <w:marRight w:val="0"/>
      <w:marTop w:val="0"/>
      <w:marBottom w:val="0"/>
      <w:divBdr>
        <w:top w:val="none" w:sz="0" w:space="0" w:color="auto"/>
        <w:left w:val="none" w:sz="0" w:space="0" w:color="auto"/>
        <w:bottom w:val="none" w:sz="0" w:space="0" w:color="auto"/>
        <w:right w:val="none" w:sz="0" w:space="0" w:color="auto"/>
      </w:divBdr>
    </w:div>
    <w:div w:id="816721927">
      <w:bodyDiv w:val="1"/>
      <w:marLeft w:val="0"/>
      <w:marRight w:val="0"/>
      <w:marTop w:val="0"/>
      <w:marBottom w:val="0"/>
      <w:divBdr>
        <w:top w:val="none" w:sz="0" w:space="0" w:color="auto"/>
        <w:left w:val="none" w:sz="0" w:space="0" w:color="auto"/>
        <w:bottom w:val="none" w:sz="0" w:space="0" w:color="auto"/>
        <w:right w:val="none" w:sz="0" w:space="0" w:color="auto"/>
      </w:divBdr>
    </w:div>
    <w:div w:id="851141830">
      <w:bodyDiv w:val="1"/>
      <w:marLeft w:val="0"/>
      <w:marRight w:val="0"/>
      <w:marTop w:val="0"/>
      <w:marBottom w:val="0"/>
      <w:divBdr>
        <w:top w:val="none" w:sz="0" w:space="0" w:color="auto"/>
        <w:left w:val="none" w:sz="0" w:space="0" w:color="auto"/>
        <w:bottom w:val="none" w:sz="0" w:space="0" w:color="auto"/>
        <w:right w:val="none" w:sz="0" w:space="0" w:color="auto"/>
      </w:divBdr>
    </w:div>
    <w:div w:id="880870435">
      <w:bodyDiv w:val="1"/>
      <w:marLeft w:val="0"/>
      <w:marRight w:val="0"/>
      <w:marTop w:val="0"/>
      <w:marBottom w:val="0"/>
      <w:divBdr>
        <w:top w:val="none" w:sz="0" w:space="0" w:color="auto"/>
        <w:left w:val="none" w:sz="0" w:space="0" w:color="auto"/>
        <w:bottom w:val="none" w:sz="0" w:space="0" w:color="auto"/>
        <w:right w:val="none" w:sz="0" w:space="0" w:color="auto"/>
      </w:divBdr>
    </w:div>
    <w:div w:id="900479671">
      <w:bodyDiv w:val="1"/>
      <w:marLeft w:val="0"/>
      <w:marRight w:val="0"/>
      <w:marTop w:val="0"/>
      <w:marBottom w:val="0"/>
      <w:divBdr>
        <w:top w:val="none" w:sz="0" w:space="0" w:color="auto"/>
        <w:left w:val="none" w:sz="0" w:space="0" w:color="auto"/>
        <w:bottom w:val="none" w:sz="0" w:space="0" w:color="auto"/>
        <w:right w:val="none" w:sz="0" w:space="0" w:color="auto"/>
      </w:divBdr>
    </w:div>
    <w:div w:id="900680141">
      <w:bodyDiv w:val="1"/>
      <w:marLeft w:val="0"/>
      <w:marRight w:val="0"/>
      <w:marTop w:val="0"/>
      <w:marBottom w:val="0"/>
      <w:divBdr>
        <w:top w:val="none" w:sz="0" w:space="0" w:color="auto"/>
        <w:left w:val="none" w:sz="0" w:space="0" w:color="auto"/>
        <w:bottom w:val="none" w:sz="0" w:space="0" w:color="auto"/>
        <w:right w:val="none" w:sz="0" w:space="0" w:color="auto"/>
      </w:divBdr>
    </w:div>
    <w:div w:id="1198396272">
      <w:bodyDiv w:val="1"/>
      <w:marLeft w:val="0"/>
      <w:marRight w:val="0"/>
      <w:marTop w:val="0"/>
      <w:marBottom w:val="0"/>
      <w:divBdr>
        <w:top w:val="none" w:sz="0" w:space="0" w:color="auto"/>
        <w:left w:val="none" w:sz="0" w:space="0" w:color="auto"/>
        <w:bottom w:val="none" w:sz="0" w:space="0" w:color="auto"/>
        <w:right w:val="none" w:sz="0" w:space="0" w:color="auto"/>
      </w:divBdr>
    </w:div>
    <w:div w:id="1218856525">
      <w:bodyDiv w:val="1"/>
      <w:marLeft w:val="0"/>
      <w:marRight w:val="0"/>
      <w:marTop w:val="0"/>
      <w:marBottom w:val="0"/>
      <w:divBdr>
        <w:top w:val="none" w:sz="0" w:space="0" w:color="auto"/>
        <w:left w:val="none" w:sz="0" w:space="0" w:color="auto"/>
        <w:bottom w:val="none" w:sz="0" w:space="0" w:color="auto"/>
        <w:right w:val="none" w:sz="0" w:space="0" w:color="auto"/>
      </w:divBdr>
    </w:div>
    <w:div w:id="1370372054">
      <w:bodyDiv w:val="1"/>
      <w:marLeft w:val="0"/>
      <w:marRight w:val="0"/>
      <w:marTop w:val="0"/>
      <w:marBottom w:val="0"/>
      <w:divBdr>
        <w:top w:val="none" w:sz="0" w:space="0" w:color="auto"/>
        <w:left w:val="none" w:sz="0" w:space="0" w:color="auto"/>
        <w:bottom w:val="none" w:sz="0" w:space="0" w:color="auto"/>
        <w:right w:val="none" w:sz="0" w:space="0" w:color="auto"/>
      </w:divBdr>
    </w:div>
    <w:div w:id="1387337853">
      <w:bodyDiv w:val="1"/>
      <w:marLeft w:val="60"/>
      <w:marRight w:val="60"/>
      <w:marTop w:val="60"/>
      <w:marBottom w:val="15"/>
      <w:divBdr>
        <w:top w:val="none" w:sz="0" w:space="0" w:color="auto"/>
        <w:left w:val="none" w:sz="0" w:space="0" w:color="auto"/>
        <w:bottom w:val="none" w:sz="0" w:space="0" w:color="auto"/>
        <w:right w:val="none" w:sz="0" w:space="0" w:color="auto"/>
      </w:divBdr>
      <w:divsChild>
        <w:div w:id="578447316">
          <w:marLeft w:val="0"/>
          <w:marRight w:val="0"/>
          <w:marTop w:val="0"/>
          <w:marBottom w:val="0"/>
          <w:divBdr>
            <w:top w:val="none" w:sz="0" w:space="0" w:color="auto"/>
            <w:left w:val="none" w:sz="0" w:space="0" w:color="auto"/>
            <w:bottom w:val="none" w:sz="0" w:space="0" w:color="auto"/>
            <w:right w:val="none" w:sz="0" w:space="0" w:color="auto"/>
          </w:divBdr>
        </w:div>
      </w:divsChild>
    </w:div>
    <w:div w:id="1434086282">
      <w:bodyDiv w:val="1"/>
      <w:marLeft w:val="0"/>
      <w:marRight w:val="0"/>
      <w:marTop w:val="0"/>
      <w:marBottom w:val="0"/>
      <w:divBdr>
        <w:top w:val="none" w:sz="0" w:space="0" w:color="auto"/>
        <w:left w:val="none" w:sz="0" w:space="0" w:color="auto"/>
        <w:bottom w:val="none" w:sz="0" w:space="0" w:color="auto"/>
        <w:right w:val="none" w:sz="0" w:space="0" w:color="auto"/>
      </w:divBdr>
    </w:div>
    <w:div w:id="1439908490">
      <w:bodyDiv w:val="1"/>
      <w:marLeft w:val="0"/>
      <w:marRight w:val="0"/>
      <w:marTop w:val="0"/>
      <w:marBottom w:val="0"/>
      <w:divBdr>
        <w:top w:val="none" w:sz="0" w:space="0" w:color="auto"/>
        <w:left w:val="none" w:sz="0" w:space="0" w:color="auto"/>
        <w:bottom w:val="none" w:sz="0" w:space="0" w:color="auto"/>
        <w:right w:val="none" w:sz="0" w:space="0" w:color="auto"/>
      </w:divBdr>
    </w:div>
    <w:div w:id="1486703481">
      <w:bodyDiv w:val="1"/>
      <w:marLeft w:val="0"/>
      <w:marRight w:val="0"/>
      <w:marTop w:val="0"/>
      <w:marBottom w:val="0"/>
      <w:divBdr>
        <w:top w:val="none" w:sz="0" w:space="0" w:color="auto"/>
        <w:left w:val="none" w:sz="0" w:space="0" w:color="auto"/>
        <w:bottom w:val="none" w:sz="0" w:space="0" w:color="auto"/>
        <w:right w:val="none" w:sz="0" w:space="0" w:color="auto"/>
      </w:divBdr>
    </w:div>
    <w:div w:id="1538588961">
      <w:bodyDiv w:val="1"/>
      <w:marLeft w:val="0"/>
      <w:marRight w:val="0"/>
      <w:marTop w:val="0"/>
      <w:marBottom w:val="0"/>
      <w:divBdr>
        <w:top w:val="none" w:sz="0" w:space="0" w:color="auto"/>
        <w:left w:val="none" w:sz="0" w:space="0" w:color="auto"/>
        <w:bottom w:val="none" w:sz="0" w:space="0" w:color="auto"/>
        <w:right w:val="none" w:sz="0" w:space="0" w:color="auto"/>
      </w:divBdr>
    </w:div>
    <w:div w:id="1656453904">
      <w:bodyDiv w:val="1"/>
      <w:marLeft w:val="0"/>
      <w:marRight w:val="0"/>
      <w:marTop w:val="0"/>
      <w:marBottom w:val="0"/>
      <w:divBdr>
        <w:top w:val="none" w:sz="0" w:space="0" w:color="auto"/>
        <w:left w:val="none" w:sz="0" w:space="0" w:color="auto"/>
        <w:bottom w:val="none" w:sz="0" w:space="0" w:color="auto"/>
        <w:right w:val="none" w:sz="0" w:space="0" w:color="auto"/>
      </w:divBdr>
    </w:div>
    <w:div w:id="1676302354">
      <w:bodyDiv w:val="1"/>
      <w:marLeft w:val="0"/>
      <w:marRight w:val="0"/>
      <w:marTop w:val="0"/>
      <w:marBottom w:val="0"/>
      <w:divBdr>
        <w:top w:val="none" w:sz="0" w:space="0" w:color="auto"/>
        <w:left w:val="none" w:sz="0" w:space="0" w:color="auto"/>
        <w:bottom w:val="none" w:sz="0" w:space="0" w:color="auto"/>
        <w:right w:val="none" w:sz="0" w:space="0" w:color="auto"/>
      </w:divBdr>
    </w:div>
    <w:div w:id="1746294988">
      <w:bodyDiv w:val="1"/>
      <w:marLeft w:val="0"/>
      <w:marRight w:val="0"/>
      <w:marTop w:val="0"/>
      <w:marBottom w:val="0"/>
      <w:divBdr>
        <w:top w:val="none" w:sz="0" w:space="0" w:color="auto"/>
        <w:left w:val="none" w:sz="0" w:space="0" w:color="auto"/>
        <w:bottom w:val="none" w:sz="0" w:space="0" w:color="auto"/>
        <w:right w:val="none" w:sz="0" w:space="0" w:color="auto"/>
      </w:divBdr>
    </w:div>
    <w:div w:id="1748651182">
      <w:bodyDiv w:val="1"/>
      <w:marLeft w:val="0"/>
      <w:marRight w:val="0"/>
      <w:marTop w:val="0"/>
      <w:marBottom w:val="0"/>
      <w:divBdr>
        <w:top w:val="none" w:sz="0" w:space="0" w:color="auto"/>
        <w:left w:val="none" w:sz="0" w:space="0" w:color="auto"/>
        <w:bottom w:val="none" w:sz="0" w:space="0" w:color="auto"/>
        <w:right w:val="none" w:sz="0" w:space="0" w:color="auto"/>
      </w:divBdr>
    </w:div>
    <w:div w:id="1748920775">
      <w:bodyDiv w:val="1"/>
      <w:marLeft w:val="0"/>
      <w:marRight w:val="0"/>
      <w:marTop w:val="0"/>
      <w:marBottom w:val="0"/>
      <w:divBdr>
        <w:top w:val="none" w:sz="0" w:space="0" w:color="auto"/>
        <w:left w:val="none" w:sz="0" w:space="0" w:color="auto"/>
        <w:bottom w:val="none" w:sz="0" w:space="0" w:color="auto"/>
        <w:right w:val="none" w:sz="0" w:space="0" w:color="auto"/>
      </w:divBdr>
    </w:div>
    <w:div w:id="1763522891">
      <w:bodyDiv w:val="1"/>
      <w:marLeft w:val="0"/>
      <w:marRight w:val="0"/>
      <w:marTop w:val="0"/>
      <w:marBottom w:val="0"/>
      <w:divBdr>
        <w:top w:val="none" w:sz="0" w:space="0" w:color="auto"/>
        <w:left w:val="none" w:sz="0" w:space="0" w:color="auto"/>
        <w:bottom w:val="none" w:sz="0" w:space="0" w:color="auto"/>
        <w:right w:val="none" w:sz="0" w:space="0" w:color="auto"/>
      </w:divBdr>
    </w:div>
    <w:div w:id="1791051790">
      <w:bodyDiv w:val="1"/>
      <w:marLeft w:val="0"/>
      <w:marRight w:val="0"/>
      <w:marTop w:val="0"/>
      <w:marBottom w:val="0"/>
      <w:divBdr>
        <w:top w:val="none" w:sz="0" w:space="0" w:color="auto"/>
        <w:left w:val="none" w:sz="0" w:space="0" w:color="auto"/>
        <w:bottom w:val="none" w:sz="0" w:space="0" w:color="auto"/>
        <w:right w:val="none" w:sz="0" w:space="0" w:color="auto"/>
      </w:divBdr>
    </w:div>
    <w:div w:id="1799958307">
      <w:bodyDiv w:val="1"/>
      <w:marLeft w:val="0"/>
      <w:marRight w:val="0"/>
      <w:marTop w:val="0"/>
      <w:marBottom w:val="0"/>
      <w:divBdr>
        <w:top w:val="none" w:sz="0" w:space="0" w:color="auto"/>
        <w:left w:val="none" w:sz="0" w:space="0" w:color="auto"/>
        <w:bottom w:val="none" w:sz="0" w:space="0" w:color="auto"/>
        <w:right w:val="none" w:sz="0" w:space="0" w:color="auto"/>
      </w:divBdr>
    </w:div>
    <w:div w:id="1802308631">
      <w:bodyDiv w:val="1"/>
      <w:marLeft w:val="0"/>
      <w:marRight w:val="0"/>
      <w:marTop w:val="0"/>
      <w:marBottom w:val="0"/>
      <w:divBdr>
        <w:top w:val="none" w:sz="0" w:space="0" w:color="auto"/>
        <w:left w:val="none" w:sz="0" w:space="0" w:color="auto"/>
        <w:bottom w:val="none" w:sz="0" w:space="0" w:color="auto"/>
        <w:right w:val="none" w:sz="0" w:space="0" w:color="auto"/>
      </w:divBdr>
    </w:div>
    <w:div w:id="1816481936">
      <w:bodyDiv w:val="1"/>
      <w:marLeft w:val="0"/>
      <w:marRight w:val="0"/>
      <w:marTop w:val="0"/>
      <w:marBottom w:val="0"/>
      <w:divBdr>
        <w:top w:val="none" w:sz="0" w:space="0" w:color="auto"/>
        <w:left w:val="none" w:sz="0" w:space="0" w:color="auto"/>
        <w:bottom w:val="none" w:sz="0" w:space="0" w:color="auto"/>
        <w:right w:val="none" w:sz="0" w:space="0" w:color="auto"/>
      </w:divBdr>
    </w:div>
    <w:div w:id="1972318374">
      <w:bodyDiv w:val="1"/>
      <w:marLeft w:val="0"/>
      <w:marRight w:val="0"/>
      <w:marTop w:val="0"/>
      <w:marBottom w:val="0"/>
      <w:divBdr>
        <w:top w:val="none" w:sz="0" w:space="0" w:color="auto"/>
        <w:left w:val="none" w:sz="0" w:space="0" w:color="auto"/>
        <w:bottom w:val="none" w:sz="0" w:space="0" w:color="auto"/>
        <w:right w:val="none" w:sz="0" w:space="0" w:color="auto"/>
      </w:divBdr>
    </w:div>
    <w:div w:id="1972326501">
      <w:bodyDiv w:val="1"/>
      <w:marLeft w:val="0"/>
      <w:marRight w:val="0"/>
      <w:marTop w:val="0"/>
      <w:marBottom w:val="0"/>
      <w:divBdr>
        <w:top w:val="none" w:sz="0" w:space="0" w:color="auto"/>
        <w:left w:val="none" w:sz="0" w:space="0" w:color="auto"/>
        <w:bottom w:val="none" w:sz="0" w:space="0" w:color="auto"/>
        <w:right w:val="none" w:sz="0" w:space="0" w:color="auto"/>
      </w:divBdr>
    </w:div>
    <w:div w:id="1974823783">
      <w:bodyDiv w:val="1"/>
      <w:marLeft w:val="0"/>
      <w:marRight w:val="0"/>
      <w:marTop w:val="0"/>
      <w:marBottom w:val="0"/>
      <w:divBdr>
        <w:top w:val="none" w:sz="0" w:space="0" w:color="auto"/>
        <w:left w:val="none" w:sz="0" w:space="0" w:color="auto"/>
        <w:bottom w:val="none" w:sz="0" w:space="0" w:color="auto"/>
        <w:right w:val="none" w:sz="0" w:space="0" w:color="auto"/>
      </w:divBdr>
    </w:div>
    <w:div w:id="1985965482">
      <w:bodyDiv w:val="1"/>
      <w:marLeft w:val="0"/>
      <w:marRight w:val="0"/>
      <w:marTop w:val="0"/>
      <w:marBottom w:val="0"/>
      <w:divBdr>
        <w:top w:val="none" w:sz="0" w:space="0" w:color="auto"/>
        <w:left w:val="none" w:sz="0" w:space="0" w:color="auto"/>
        <w:bottom w:val="none" w:sz="0" w:space="0" w:color="auto"/>
        <w:right w:val="none" w:sz="0" w:space="0" w:color="auto"/>
      </w:divBdr>
    </w:div>
    <w:div w:id="1992058091">
      <w:bodyDiv w:val="1"/>
      <w:marLeft w:val="0"/>
      <w:marRight w:val="0"/>
      <w:marTop w:val="0"/>
      <w:marBottom w:val="0"/>
      <w:divBdr>
        <w:top w:val="none" w:sz="0" w:space="0" w:color="auto"/>
        <w:left w:val="none" w:sz="0" w:space="0" w:color="auto"/>
        <w:bottom w:val="none" w:sz="0" w:space="0" w:color="auto"/>
        <w:right w:val="none" w:sz="0" w:space="0" w:color="auto"/>
      </w:divBdr>
    </w:div>
    <w:div w:id="2041474137">
      <w:bodyDiv w:val="1"/>
      <w:marLeft w:val="0"/>
      <w:marRight w:val="0"/>
      <w:marTop w:val="0"/>
      <w:marBottom w:val="0"/>
      <w:divBdr>
        <w:top w:val="none" w:sz="0" w:space="0" w:color="auto"/>
        <w:left w:val="none" w:sz="0" w:space="0" w:color="auto"/>
        <w:bottom w:val="none" w:sz="0" w:space="0" w:color="auto"/>
        <w:right w:val="none" w:sz="0" w:space="0" w:color="auto"/>
      </w:divBdr>
    </w:div>
    <w:div w:id="2045707971">
      <w:bodyDiv w:val="1"/>
      <w:marLeft w:val="0"/>
      <w:marRight w:val="0"/>
      <w:marTop w:val="0"/>
      <w:marBottom w:val="0"/>
      <w:divBdr>
        <w:top w:val="none" w:sz="0" w:space="0" w:color="auto"/>
        <w:left w:val="none" w:sz="0" w:space="0" w:color="auto"/>
        <w:bottom w:val="none" w:sz="0" w:space="0" w:color="auto"/>
        <w:right w:val="none" w:sz="0" w:space="0" w:color="auto"/>
      </w:divBdr>
    </w:div>
    <w:div w:id="2067680658">
      <w:bodyDiv w:val="1"/>
      <w:marLeft w:val="0"/>
      <w:marRight w:val="0"/>
      <w:marTop w:val="0"/>
      <w:marBottom w:val="0"/>
      <w:divBdr>
        <w:top w:val="none" w:sz="0" w:space="0" w:color="auto"/>
        <w:left w:val="none" w:sz="0" w:space="0" w:color="auto"/>
        <w:bottom w:val="none" w:sz="0" w:space="0" w:color="auto"/>
        <w:right w:val="none" w:sz="0" w:space="0" w:color="auto"/>
      </w:divBdr>
      <w:divsChild>
        <w:div w:id="1432773254">
          <w:marLeft w:val="0"/>
          <w:marRight w:val="0"/>
          <w:marTop w:val="0"/>
          <w:marBottom w:val="0"/>
          <w:divBdr>
            <w:top w:val="none" w:sz="0" w:space="0" w:color="auto"/>
            <w:left w:val="none" w:sz="0" w:space="0" w:color="auto"/>
            <w:bottom w:val="none" w:sz="0" w:space="0" w:color="auto"/>
            <w:right w:val="none" w:sz="0" w:space="0" w:color="auto"/>
          </w:divBdr>
          <w:divsChild>
            <w:div w:id="2061394322">
              <w:marLeft w:val="0"/>
              <w:marRight w:val="0"/>
              <w:marTop w:val="0"/>
              <w:marBottom w:val="0"/>
              <w:divBdr>
                <w:top w:val="none" w:sz="0" w:space="0" w:color="auto"/>
                <w:left w:val="none" w:sz="0" w:space="0" w:color="auto"/>
                <w:bottom w:val="none" w:sz="0" w:space="0" w:color="auto"/>
                <w:right w:val="none" w:sz="0" w:space="0" w:color="auto"/>
              </w:divBdr>
            </w:div>
          </w:divsChild>
        </w:div>
        <w:div w:id="1237782449">
          <w:marLeft w:val="0"/>
          <w:marRight w:val="0"/>
          <w:marTop w:val="0"/>
          <w:marBottom w:val="0"/>
          <w:divBdr>
            <w:top w:val="none" w:sz="0" w:space="0" w:color="auto"/>
            <w:left w:val="none" w:sz="0" w:space="0" w:color="auto"/>
            <w:bottom w:val="none" w:sz="0" w:space="0" w:color="auto"/>
            <w:right w:val="none" w:sz="0" w:space="0" w:color="auto"/>
          </w:divBdr>
        </w:div>
        <w:div w:id="716663125">
          <w:marLeft w:val="0"/>
          <w:marRight w:val="0"/>
          <w:marTop w:val="0"/>
          <w:marBottom w:val="0"/>
          <w:divBdr>
            <w:top w:val="none" w:sz="0" w:space="0" w:color="auto"/>
            <w:left w:val="none" w:sz="0" w:space="0" w:color="auto"/>
            <w:bottom w:val="none" w:sz="0" w:space="0" w:color="auto"/>
            <w:right w:val="none" w:sz="0" w:space="0" w:color="auto"/>
          </w:divBdr>
          <w:divsChild>
            <w:div w:id="649211815">
              <w:marLeft w:val="0"/>
              <w:marRight w:val="0"/>
              <w:marTop w:val="0"/>
              <w:marBottom w:val="0"/>
              <w:divBdr>
                <w:top w:val="none" w:sz="0" w:space="0" w:color="auto"/>
                <w:left w:val="none" w:sz="0" w:space="0" w:color="auto"/>
                <w:bottom w:val="none" w:sz="0" w:space="0" w:color="auto"/>
                <w:right w:val="none" w:sz="0" w:space="0" w:color="auto"/>
              </w:divBdr>
              <w:divsChild>
                <w:div w:id="2058047471">
                  <w:marLeft w:val="0"/>
                  <w:marRight w:val="0"/>
                  <w:marTop w:val="0"/>
                  <w:marBottom w:val="0"/>
                  <w:divBdr>
                    <w:top w:val="none" w:sz="0" w:space="0" w:color="auto"/>
                    <w:left w:val="none" w:sz="0" w:space="0" w:color="auto"/>
                    <w:bottom w:val="none" w:sz="0" w:space="0" w:color="auto"/>
                    <w:right w:val="none" w:sz="0" w:space="0" w:color="auto"/>
                  </w:divBdr>
                </w:div>
                <w:div w:id="640429297">
                  <w:marLeft w:val="0"/>
                  <w:marRight w:val="0"/>
                  <w:marTop w:val="0"/>
                  <w:marBottom w:val="0"/>
                  <w:divBdr>
                    <w:top w:val="none" w:sz="0" w:space="0" w:color="auto"/>
                    <w:left w:val="none" w:sz="0" w:space="0" w:color="auto"/>
                    <w:bottom w:val="none" w:sz="0" w:space="0" w:color="auto"/>
                    <w:right w:val="none" w:sz="0" w:space="0" w:color="auto"/>
                  </w:divBdr>
                  <w:divsChild>
                    <w:div w:id="858007387">
                      <w:marLeft w:val="0"/>
                      <w:marRight w:val="0"/>
                      <w:marTop w:val="0"/>
                      <w:marBottom w:val="0"/>
                      <w:divBdr>
                        <w:top w:val="none" w:sz="0" w:space="0" w:color="auto"/>
                        <w:left w:val="none" w:sz="0" w:space="0" w:color="auto"/>
                        <w:bottom w:val="none" w:sz="0" w:space="0" w:color="auto"/>
                        <w:right w:val="none" w:sz="0" w:space="0" w:color="auto"/>
                      </w:divBdr>
                    </w:div>
                    <w:div w:id="1730762159">
                      <w:marLeft w:val="0"/>
                      <w:marRight w:val="0"/>
                      <w:marTop w:val="0"/>
                      <w:marBottom w:val="0"/>
                      <w:divBdr>
                        <w:top w:val="none" w:sz="0" w:space="0" w:color="auto"/>
                        <w:left w:val="none" w:sz="0" w:space="0" w:color="auto"/>
                        <w:bottom w:val="none" w:sz="0" w:space="0" w:color="auto"/>
                        <w:right w:val="none" w:sz="0" w:space="0" w:color="auto"/>
                      </w:divBdr>
                    </w:div>
                    <w:div w:id="874972375">
                      <w:marLeft w:val="0"/>
                      <w:marRight w:val="0"/>
                      <w:marTop w:val="0"/>
                      <w:marBottom w:val="0"/>
                      <w:divBdr>
                        <w:top w:val="none" w:sz="0" w:space="0" w:color="auto"/>
                        <w:left w:val="none" w:sz="0" w:space="0" w:color="auto"/>
                        <w:bottom w:val="none" w:sz="0" w:space="0" w:color="auto"/>
                        <w:right w:val="none" w:sz="0" w:space="0" w:color="auto"/>
                      </w:divBdr>
                    </w:div>
                    <w:div w:id="1200585999">
                      <w:marLeft w:val="0"/>
                      <w:marRight w:val="0"/>
                      <w:marTop w:val="0"/>
                      <w:marBottom w:val="0"/>
                      <w:divBdr>
                        <w:top w:val="none" w:sz="0" w:space="0" w:color="auto"/>
                        <w:left w:val="none" w:sz="0" w:space="0" w:color="auto"/>
                        <w:bottom w:val="none" w:sz="0" w:space="0" w:color="auto"/>
                        <w:right w:val="none" w:sz="0" w:space="0" w:color="auto"/>
                      </w:divBdr>
                    </w:div>
                    <w:div w:id="1446535725">
                      <w:marLeft w:val="0"/>
                      <w:marRight w:val="0"/>
                      <w:marTop w:val="0"/>
                      <w:marBottom w:val="0"/>
                      <w:divBdr>
                        <w:top w:val="none" w:sz="0" w:space="0" w:color="auto"/>
                        <w:left w:val="none" w:sz="0" w:space="0" w:color="auto"/>
                        <w:bottom w:val="none" w:sz="0" w:space="0" w:color="auto"/>
                        <w:right w:val="none" w:sz="0" w:space="0" w:color="auto"/>
                      </w:divBdr>
                    </w:div>
                    <w:div w:id="2089686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0592618">
      <w:bodyDiv w:val="1"/>
      <w:marLeft w:val="0"/>
      <w:marRight w:val="0"/>
      <w:marTop w:val="0"/>
      <w:marBottom w:val="0"/>
      <w:divBdr>
        <w:top w:val="none" w:sz="0" w:space="0" w:color="auto"/>
        <w:left w:val="none" w:sz="0" w:space="0" w:color="auto"/>
        <w:bottom w:val="none" w:sz="0" w:space="0" w:color="auto"/>
        <w:right w:val="none" w:sz="0" w:space="0" w:color="auto"/>
      </w:divBdr>
    </w:div>
    <w:div w:id="21227258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oncamere.gov.it"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3" Type="http://schemas.openxmlformats.org/officeDocument/2006/relationships/hyperlink" Target="http://www.unioncamere.gov.it" TargetMode="External"/><Relationship Id="rId2" Type="http://schemas.openxmlformats.org/officeDocument/2006/relationships/hyperlink" Target="mailto:ufficio.stampa@unioncamere.it" TargetMode="External"/><Relationship Id="rId1" Type="http://schemas.openxmlformats.org/officeDocument/2006/relationships/hyperlink" Target="mailto:media.relations@mediobanca.com" TargetMode="External"/><Relationship Id="rId6" Type="http://schemas.openxmlformats.org/officeDocument/2006/relationships/hyperlink" Target="https://twitter.com/IstTagliacarne" TargetMode="External"/><Relationship Id="rId5" Type="http://schemas.openxmlformats.org/officeDocument/2006/relationships/hyperlink" Target="http://www.tagliacarne.it" TargetMode="External"/><Relationship Id="rId4" Type="http://schemas.openxmlformats.org/officeDocument/2006/relationships/hyperlink" Target="file:///C:\Users\BU0946\AppData\Local\Microsoft\Windows\INetCache\Content.Outlook\TZUKH1HC\twitter.com\unioncamere" TargetMode="External"/></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wnloads\FORMAT%20COMUNICATO.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4%20(2025)\PAPER\Dati%20Paper%20COMPLETI.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package" Target="../embeddings/Microsoft_Excel_Worksheet.xlsx"/></Relationships>
</file>

<file path=word/charts/_rels/chart3.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4%20(2025)\AREA%20COMUNICAZIONE\Grafico%20Tagliacarne%20per%20cs.xlsx" TargetMode="External"/><Relationship Id="rId2" Type="http://schemas.microsoft.com/office/2011/relationships/chartColorStyle" Target="colors3.xml"/><Relationship Id="rId1" Type="http://schemas.microsoft.com/office/2011/relationships/chartStyle" Target="style3.xml"/><Relationship Id="rId4" Type="http://schemas.openxmlformats.org/officeDocument/2006/relationships/chartUserShapes" Target="../drawings/drawing1.xml"/></Relationships>
</file>

<file path=word/charts/_rels/chart4.xml.rels><?xml version="1.0" encoding="UTF-8" standalone="yes"?>
<Relationships xmlns="http://schemas.openxmlformats.org/package/2006/relationships"><Relationship Id="rId3" Type="http://schemas.openxmlformats.org/officeDocument/2006/relationships/oleObject" Target="file:///\\MBPNETAPP01\MBP_uffici$\MBP-Uffici\1539-AD\1530-Ufficio%20Studi\Shared-AreaStudi\B-Data%20Specialists\MINEC24%20(2025)\PAPER\Dati%20Paper%20COMPLETI.xlsx" TargetMode="External"/><Relationship Id="rId2" Type="http://schemas.microsoft.com/office/2011/relationships/chartColorStyle" Target="colors4.xml"/><Relationship Id="rId1" Type="http://schemas.microsoft.com/office/2011/relationships/chartStyle" Target="style4.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'3.1'!$B$22</c:f>
              <c:strCache>
                <c:ptCount val="1"/>
                <c:pt idx="0">
                  <c:v>Medio-grandi</c:v>
                </c:pt>
              </c:strCache>
            </c:strRef>
          </c:tx>
          <c:spPr>
            <a:solidFill>
              <a:srgbClr val="2B8FC2"/>
            </a:solidFill>
            <a:ln>
              <a:noFill/>
            </a:ln>
            <a:effectLst/>
          </c:spPr>
          <c:invertIfNegative val="0"/>
          <c:dLbls>
            <c:dLbl>
              <c:idx val="6"/>
              <c:layout>
                <c:manualLayout>
                  <c:x val="-1.6086537974362872E-3"/>
                  <c:y val="-5.9010199628413835E-17"/>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AC5-4963-9060-EFBDBAB60B26}"/>
                </c:ext>
              </c:extLst>
            </c:dLbl>
            <c:dLbl>
              <c:idx val="7"/>
              <c:layout>
                <c:manualLayout>
                  <c:x val="-1.1796658238530152E-16"/>
                  <c:y val="6.43755068937550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AC5-4963-9060-EFBDBAB60B26}"/>
                </c:ext>
              </c:extLst>
            </c:dLbl>
            <c:dLbl>
              <c:idx val="9"/>
              <c:layout>
                <c:manualLayout>
                  <c:x val="-1.6086537974364051E-3"/>
                  <c:y val="3.2187753446877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AC5-4963-9060-EFBDBAB60B2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'3.1'!$A$23:$A$32</c:f>
              <c:strCache>
                <c:ptCount val="10"/>
                <c:pt idx="0">
                  <c:v>Innovazione tecnologica e utilizzo dell’Intelligenza Artificiale</c:v>
                </c:pt>
                <c:pt idx="1">
                  <c:v>Cambiamento climatico, inquinamento e fenomeni atmosferici di grave entità</c:v>
                </c:pt>
                <c:pt idx="2">
                  <c:v>Sicurezza informatica (crimini informatici, malware/ransomware, violazione dei dati, guasti IT)</c:v>
                </c:pt>
                <c:pt idx="3">
                  <c:v>Elevato livello di dipendenza nell’approvvigionamento di input produttivi da mercati esteri</c:v>
                </c:pt>
                <c:pt idx="4">
                  <c:v>Concorrenza di qualità</c:v>
                </c:pt>
                <c:pt idx="5">
                  <c:v>Regolamentazione eccessiva</c:v>
                </c:pt>
                <c:pt idx="6">
                  <c:v>Barriere commerciali e politiche protezionistiche</c:v>
                </c:pt>
                <c:pt idx="7">
                  <c:v>Alti costi dell’energia</c:v>
                </c:pt>
                <c:pt idx="8">
                  <c:v>Contesto geopolitico instabile</c:v>
                </c:pt>
                <c:pt idx="9">
                  <c:v>Concorrenza di prezzo</c:v>
                </c:pt>
              </c:strCache>
            </c:strRef>
          </c:cat>
          <c:val>
            <c:numRef>
              <c:f>'3.1'!$B$23:$B$32</c:f>
              <c:numCache>
                <c:formatCode>0.0</c:formatCode>
                <c:ptCount val="10"/>
                <c:pt idx="0">
                  <c:v>6.1224489795918364</c:v>
                </c:pt>
                <c:pt idx="1">
                  <c:v>12.925170068027212</c:v>
                </c:pt>
                <c:pt idx="2">
                  <c:v>12.244897959183673</c:v>
                </c:pt>
                <c:pt idx="3">
                  <c:v>8.1632653061224492</c:v>
                </c:pt>
                <c:pt idx="4">
                  <c:v>17.006802721088434</c:v>
                </c:pt>
                <c:pt idx="5">
                  <c:v>19.047619047619047</c:v>
                </c:pt>
                <c:pt idx="6">
                  <c:v>45.57823129251701</c:v>
                </c:pt>
                <c:pt idx="7">
                  <c:v>40.816326530612244</c:v>
                </c:pt>
                <c:pt idx="8">
                  <c:v>56.5</c:v>
                </c:pt>
                <c:pt idx="9">
                  <c:v>61.904761904761905</c:v>
                </c:pt>
              </c:numCache>
            </c:numRef>
          </c:val>
          <c:extLst>
            <c:ext xmlns:c16="http://schemas.microsoft.com/office/drawing/2014/chart" uri="{C3380CC4-5D6E-409C-BE32-E72D297353CC}">
              <c16:uniqueId val="{00000003-4AC5-4963-9060-EFBDBAB60B26}"/>
            </c:ext>
          </c:extLst>
        </c:ser>
        <c:ser>
          <c:idx val="1"/>
          <c:order val="1"/>
          <c:tx>
            <c:strRef>
              <c:f>'3.1'!$C$22</c:f>
              <c:strCache>
                <c:ptCount val="1"/>
                <c:pt idx="0">
                  <c:v>Medie imprese</c:v>
                </c:pt>
              </c:strCache>
            </c:strRef>
          </c:tx>
          <c:spPr>
            <a:solidFill>
              <a:srgbClr val="132745"/>
            </a:solidFill>
            <a:ln>
              <a:noFill/>
            </a:ln>
            <a:effectLst/>
          </c:spPr>
          <c:invertIfNegative val="0"/>
          <c:dLbls>
            <c:dLbl>
              <c:idx val="1"/>
              <c:layout>
                <c:manualLayout>
                  <c:x val="0"/>
                  <c:y val="-9.65632603406326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AC5-4963-9060-EFBDBAB60B26}"/>
                </c:ext>
              </c:extLst>
            </c:dLbl>
            <c:dLbl>
              <c:idx val="2"/>
              <c:layout>
                <c:manualLayout>
                  <c:x val="0"/>
                  <c:y val="-9.6563260340632607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AC5-4963-9060-EFBDBAB60B26}"/>
                </c:ext>
              </c:extLst>
            </c:dLbl>
            <c:dLbl>
              <c:idx val="3"/>
              <c:layout>
                <c:manualLayout>
                  <c:x val="0"/>
                  <c:y val="-3.2187753446877533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AC5-4963-9060-EFBDBAB60B26}"/>
                </c:ext>
              </c:extLst>
            </c:dLbl>
            <c:dLbl>
              <c:idx val="4"/>
              <c:layout>
                <c:manualLayout>
                  <c:x val="-6.4346151897451487E-3"/>
                  <c:y val="-1.2875101378751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AC5-4963-9060-EFBDBAB60B26}"/>
                </c:ext>
              </c:extLst>
            </c:dLbl>
            <c:dLbl>
              <c:idx val="5"/>
              <c:layout>
                <c:manualLayout>
                  <c:x val="-1.6086537974362872E-3"/>
                  <c:y val="-6.4375506893755065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AC5-4963-9060-EFBDBAB60B26}"/>
                </c:ext>
              </c:extLst>
            </c:dLbl>
            <c:dLbl>
              <c:idx val="6"/>
              <c:layout>
                <c:manualLayout>
                  <c:x val="-1.6086537974362872E-3"/>
                  <c:y val="-1.2875101378751013E-2"/>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9-4AC5-4963-9060-EFBDBAB60B26}"/>
                </c:ext>
              </c:extLst>
            </c:dLbl>
            <c:dLbl>
              <c:idx val="8"/>
              <c:layout>
                <c:manualLayout>
                  <c:x val="-4.8259613923089797E-3"/>
                  <c:y val="-6.4375506893754918E-3"/>
                </c:manualLayout>
              </c:layout>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A-4AC5-4963-9060-EFBDBAB60B26}"/>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'3.1'!$A$23:$A$32</c:f>
              <c:strCache>
                <c:ptCount val="10"/>
                <c:pt idx="0">
                  <c:v>Innovazione tecnologica e utilizzo dell’Intelligenza Artificiale</c:v>
                </c:pt>
                <c:pt idx="1">
                  <c:v>Cambiamento climatico, inquinamento e fenomeni atmosferici di grave entità</c:v>
                </c:pt>
                <c:pt idx="2">
                  <c:v>Sicurezza informatica (crimini informatici, malware/ransomware, violazione dei dati, guasti IT)</c:v>
                </c:pt>
                <c:pt idx="3">
                  <c:v>Elevato livello di dipendenza nell’approvvigionamento di input produttivi da mercati esteri</c:v>
                </c:pt>
                <c:pt idx="4">
                  <c:v>Concorrenza di qualità</c:v>
                </c:pt>
                <c:pt idx="5">
                  <c:v>Regolamentazione eccessiva</c:v>
                </c:pt>
                <c:pt idx="6">
                  <c:v>Barriere commerciali e politiche protezionistiche</c:v>
                </c:pt>
                <c:pt idx="7">
                  <c:v>Alti costi dell’energia</c:v>
                </c:pt>
                <c:pt idx="8">
                  <c:v>Contesto geopolitico instabile</c:v>
                </c:pt>
                <c:pt idx="9">
                  <c:v>Concorrenza di prezzo</c:v>
                </c:pt>
              </c:strCache>
            </c:strRef>
          </c:cat>
          <c:val>
            <c:numRef>
              <c:f>'3.1'!$C$23:$C$32</c:f>
              <c:numCache>
                <c:formatCode>0.0</c:formatCode>
                <c:ptCount val="10"/>
                <c:pt idx="0">
                  <c:v>4.0723981900452486</c:v>
                </c:pt>
                <c:pt idx="1">
                  <c:v>5.6561085972850682</c:v>
                </c:pt>
                <c:pt idx="2">
                  <c:v>6.7873303167420813</c:v>
                </c:pt>
                <c:pt idx="3">
                  <c:v>8.8235294117647065</c:v>
                </c:pt>
                <c:pt idx="4">
                  <c:v>13.574660633484163</c:v>
                </c:pt>
                <c:pt idx="5">
                  <c:v>17.420814479638008</c:v>
                </c:pt>
                <c:pt idx="6">
                  <c:v>32.579185520361989</c:v>
                </c:pt>
                <c:pt idx="7">
                  <c:v>51.80995475113123</c:v>
                </c:pt>
                <c:pt idx="8">
                  <c:v>51.80995475113123</c:v>
                </c:pt>
                <c:pt idx="9">
                  <c:v>69.909502262443439</c:v>
                </c:pt>
              </c:numCache>
            </c:numRef>
          </c:val>
          <c:extLst>
            <c:ext xmlns:c16="http://schemas.microsoft.com/office/drawing/2014/chart" uri="{C3380CC4-5D6E-409C-BE32-E72D297353CC}">
              <c16:uniqueId val="{0000000B-4AC5-4963-9060-EFBDBAB60B26}"/>
            </c:ext>
          </c:extLst>
        </c:ser>
        <c:dLbls>
          <c:showLegendKey val="0"/>
          <c:showVal val="0"/>
          <c:showCatName val="0"/>
          <c:showSerName val="0"/>
          <c:showPercent val="0"/>
          <c:showBubbleSize val="0"/>
        </c:dLbls>
        <c:gapWidth val="182"/>
        <c:axId val="697965192"/>
        <c:axId val="697966272"/>
      </c:barChart>
      <c:catAx>
        <c:axId val="697965192"/>
        <c:scaling>
          <c:orientation val="minMax"/>
        </c:scaling>
        <c:delete val="0"/>
        <c:axPos val="l"/>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697966272"/>
        <c:crosses val="autoZero"/>
        <c:auto val="1"/>
        <c:lblAlgn val="ctr"/>
        <c:lblOffset val="100"/>
        <c:noMultiLvlLbl val="0"/>
      </c:catAx>
      <c:valAx>
        <c:axId val="697966272"/>
        <c:scaling>
          <c:orientation val="minMax"/>
        </c:scaling>
        <c:delete val="1"/>
        <c:axPos val="b"/>
        <c:numFmt formatCode="0.0" sourceLinked="1"/>
        <c:majorTickMark val="none"/>
        <c:minorTickMark val="none"/>
        <c:tickLblPos val="nextTo"/>
        <c:crossAx val="697965192"/>
        <c:crosses val="autoZero"/>
        <c:crossBetween val="between"/>
      </c:valAx>
      <c:spPr>
        <a:noFill/>
        <a:ln>
          <a:noFill/>
        </a:ln>
        <a:effectLst/>
      </c:spPr>
    </c:plotArea>
    <c:legend>
      <c:legendPos val="b"/>
      <c:layout>
        <c:manualLayout>
          <c:xMode val="edge"/>
          <c:yMode val="edge"/>
          <c:x val="0.3616529867761058"/>
          <c:y val="0.89824589416058398"/>
          <c:w val="0.44685374330283834"/>
          <c:h val="5.3472475669099753E-2"/>
        </c:manualLayout>
      </c:layout>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2.0298060380118596E-2"/>
          <c:y val="4.4246526315122686E-2"/>
          <c:w val="0.95940387923976278"/>
          <c:h val="0.82918088363954501"/>
        </c:manualLayout>
      </c:layout>
      <c:barChart>
        <c:barDir val="col"/>
        <c:grouping val="clustered"/>
        <c:varyColors val="0"/>
        <c:ser>
          <c:idx val="0"/>
          <c:order val="0"/>
          <c:spPr>
            <a:solidFill>
              <a:srgbClr val="0D89BB"/>
            </a:solidFill>
            <a:ln>
              <a:noFill/>
            </a:ln>
            <a:effectLst/>
          </c:spPr>
          <c:invertIfNegative val="0"/>
          <c:dPt>
            <c:idx val="0"/>
            <c:invertIfNegative val="0"/>
            <c:bubble3D val="0"/>
            <c:spPr>
              <a:solidFill>
                <a:srgbClr val="132745"/>
              </a:solidFill>
              <a:ln>
                <a:noFill/>
              </a:ln>
              <a:effectLst/>
            </c:spPr>
            <c:extLst>
              <c:ext xmlns:c16="http://schemas.microsoft.com/office/drawing/2014/chart" uri="{C3380CC4-5D6E-409C-BE32-E72D297353CC}">
                <c16:uniqueId val="{00000001-BA37-4579-93B6-5AD421E4C3B8}"/>
              </c:ext>
            </c:extLst>
          </c:dPt>
          <c:dLbls>
            <c:dLbl>
              <c:idx val="0"/>
              <c:tx>
                <c:rich>
                  <a:bodyPr/>
                  <a:lstStyle/>
                  <a:p>
                    <a:r>
                      <a:rPr lang="en-US"/>
                      <a:t>+</a:t>
                    </a:r>
                    <a:fld id="{F40E65E1-8007-4AD7-BBBA-D21DC78681A4}" type="VALUE">
                      <a:rPr lang="en-US" smtClean="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A37-4579-93B6-5AD421E4C3B8}"/>
                </c:ext>
              </c:extLst>
            </c:dLbl>
            <c:dLbl>
              <c:idx val="1"/>
              <c:tx>
                <c:rich>
                  <a:bodyPr/>
                  <a:lstStyle/>
                  <a:p>
                    <a:r>
                      <a:rPr lang="en-US"/>
                      <a:t>+</a:t>
                    </a:r>
                    <a:fld id="{A952C686-42F6-45FF-8D69-E197C65319CF}" type="VALUE">
                      <a:rPr lang="en-US" smtClean="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BA37-4579-93B6-5AD421E4C3B8}"/>
                </c:ext>
              </c:extLst>
            </c:dLbl>
            <c:dLbl>
              <c:idx val="2"/>
              <c:tx>
                <c:rich>
                  <a:bodyPr/>
                  <a:lstStyle/>
                  <a:p>
                    <a:r>
                      <a:rPr lang="en-US"/>
                      <a:t>+</a:t>
                    </a:r>
                    <a:fld id="{B727BD6A-CF21-4522-8274-B5122DC8EE59}" type="VALUE">
                      <a:rPr lang="en-US" smtClean="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BA37-4579-93B6-5AD421E4C3B8}"/>
                </c:ext>
              </c:extLst>
            </c:dLbl>
            <c:dLbl>
              <c:idx val="3"/>
              <c:tx>
                <c:rich>
                  <a:bodyPr/>
                  <a:lstStyle/>
                  <a:p>
                    <a:r>
                      <a:rPr lang="en-US"/>
                      <a:t>+</a:t>
                    </a:r>
                    <a:fld id="{52C4B006-8E27-4FFB-83B9-DCED42EC2927}" type="VALUE">
                      <a:rPr lang="en-US" smtClean="0"/>
                      <a:pPr/>
                      <a:t>[VALUE]</a:t>
                    </a:fld>
                    <a:endParaRPr lang="en-US"/>
                  </a:p>
                </c:rich>
              </c:tx>
              <c:dLblPos val="outEnd"/>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4-BA37-4579-93B6-5AD421E4C3B8}"/>
                </c:ext>
              </c:extLst>
            </c:dLbl>
            <c:spPr>
              <a:noFill/>
              <a:ln>
                <a:noFill/>
              </a:ln>
              <a:effectLst/>
            </c:spPr>
            <c:txPr>
              <a:bodyPr rot="0" spcFirstLastPara="1" vertOverflow="ellipsis" vert="horz" wrap="square" lIns="38100" tIns="19050" rIns="38100" bIns="19050" anchor="ctr" anchorCtr="1">
                <a:spAutoFit/>
              </a:bodyPr>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NEW_GRAFICI!$C$36:$C$39</c:f>
              <c:strCache>
                <c:ptCount val="4"/>
                <c:pt idx="0">
                  <c:v>Italia</c:v>
                </c:pt>
                <c:pt idx="1">
                  <c:v>Spagna</c:v>
                </c:pt>
                <c:pt idx="2">
                  <c:v>Germania</c:v>
                </c:pt>
                <c:pt idx="3">
                  <c:v>Francia</c:v>
                </c:pt>
              </c:strCache>
            </c:strRef>
          </c:cat>
          <c:val>
            <c:numRef>
              <c:f>NEW_GRAFICI!$D$36:$D$39</c:f>
              <c:numCache>
                <c:formatCode>0.0</c:formatCode>
                <c:ptCount val="4"/>
                <c:pt idx="0">
                  <c:v>31.3</c:v>
                </c:pt>
                <c:pt idx="1">
                  <c:v>29.871354493282041</c:v>
                </c:pt>
                <c:pt idx="2">
                  <c:v>25.782274143967477</c:v>
                </c:pt>
                <c:pt idx="3">
                  <c:v>20.185325143990518</c:v>
                </c:pt>
              </c:numCache>
            </c:numRef>
          </c:val>
          <c:extLst>
            <c:ext xmlns:c16="http://schemas.microsoft.com/office/drawing/2014/chart" uri="{C3380CC4-5D6E-409C-BE32-E72D297353CC}">
              <c16:uniqueId val="{00000005-BA37-4579-93B6-5AD421E4C3B8}"/>
            </c:ext>
          </c:extLst>
        </c:ser>
        <c:dLbls>
          <c:dLblPos val="outEnd"/>
          <c:showLegendKey val="0"/>
          <c:showVal val="1"/>
          <c:showCatName val="0"/>
          <c:showSerName val="0"/>
          <c:showPercent val="0"/>
          <c:showBubbleSize val="0"/>
        </c:dLbls>
        <c:gapWidth val="150"/>
        <c:axId val="79581184"/>
        <c:axId val="79589376"/>
      </c:barChart>
      <c:catAx>
        <c:axId val="79581184"/>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rgbClr val="132745"/>
                </a:solidFill>
                <a:latin typeface="Times New Roman" panose="02020603050405020304" pitchFamily="18" charset="0"/>
                <a:ea typeface="+mn-ea"/>
                <a:cs typeface="Times New Roman" panose="02020603050405020304" pitchFamily="18" charset="0"/>
              </a:defRPr>
            </a:pPr>
            <a:endParaRPr lang="it-IT"/>
          </a:p>
        </c:txPr>
        <c:crossAx val="79589376"/>
        <c:crosses val="autoZero"/>
        <c:auto val="1"/>
        <c:lblAlgn val="ctr"/>
        <c:lblOffset val="100"/>
        <c:noMultiLvlLbl val="0"/>
      </c:catAx>
      <c:valAx>
        <c:axId val="79589376"/>
        <c:scaling>
          <c:orientation val="minMax"/>
          <c:max val="40"/>
          <c:min val="0"/>
        </c:scaling>
        <c:delete val="1"/>
        <c:axPos val="l"/>
        <c:numFmt formatCode="0.0" sourceLinked="1"/>
        <c:majorTickMark val="out"/>
        <c:minorTickMark val="none"/>
        <c:tickLblPos val="nextTo"/>
        <c:crossAx val="79581184"/>
        <c:crosses val="autoZero"/>
        <c:crossBetween val="between"/>
      </c:valAx>
      <c:spPr>
        <a:noFill/>
        <a:ln>
          <a:noFill/>
        </a:ln>
        <a:effectLst/>
      </c:spPr>
    </c:plotArea>
    <c:plotVisOnly val="1"/>
    <c:dispBlanksAs val="gap"/>
    <c:showDLblsOverMax val="0"/>
    <c:extLst/>
  </c:chart>
  <c:spPr>
    <a:noFill/>
    <a:ln w="9525" cap="flat" cmpd="sng" algn="ctr">
      <a:noFill/>
      <a:round/>
    </a:ln>
    <a:effectLst/>
  </c:spPr>
  <c:txPr>
    <a:bodyPr/>
    <a:lstStyle/>
    <a:p>
      <a:pPr>
        <a:defRPr>
          <a:solidFill>
            <a:sysClr val="windowText" lastClr="000000"/>
          </a:solidFill>
        </a:defRPr>
      </a:pPr>
      <a:endParaRPr lang="it-IT"/>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Foglio1!$B$1</c:f>
              <c:strCache>
                <c:ptCount val="1"/>
                <c:pt idx="0">
                  <c:v>Variazione fatturato</c:v>
                </c:pt>
              </c:strCache>
            </c:strRef>
          </c:tx>
          <c:spPr>
            <a:solidFill>
              <a:srgbClr val="132745"/>
            </a:solidFill>
            <a:ln>
              <a:noFill/>
            </a:ln>
            <a:effectLst/>
          </c:spPr>
          <c:invertIfNegative val="0"/>
          <c:dLbls>
            <c:dLbl>
              <c:idx val="0"/>
              <c:tx>
                <c:rich>
                  <a:bodyPr/>
                  <a:lstStyle/>
                  <a:p>
                    <a:r>
                      <a:rPr lang="en-US"/>
                      <a:t>+</a:t>
                    </a:r>
                    <a:fld id="{F0CEEB34-D57B-4011-9740-491C6E19E170}"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0-9496-4D80-856E-0C16A6C971BA}"/>
                </c:ext>
              </c:extLst>
            </c:dLbl>
            <c:dLbl>
              <c:idx val="1"/>
              <c:tx>
                <c:rich>
                  <a:bodyPr/>
                  <a:lstStyle/>
                  <a:p>
                    <a:r>
                      <a:rPr lang="en-US"/>
                      <a:t>+</a:t>
                    </a:r>
                    <a:fld id="{D4940264-4607-40EA-8933-9BC3BA6F06C6}"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496-4D80-856E-0C16A6C971BA}"/>
                </c:ext>
              </c:extLst>
            </c:dLbl>
            <c:dLbl>
              <c:idx val="2"/>
              <c:tx>
                <c:rich>
                  <a:bodyPr/>
                  <a:lstStyle/>
                  <a:p>
                    <a:r>
                      <a:rPr lang="en-US"/>
                      <a:t>+</a:t>
                    </a:r>
                    <a:fld id="{4CC83D72-97B8-4B13-BFAF-1F8F456724F5}"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2-9496-4D80-856E-0C16A6C971BA}"/>
                </c:ext>
              </c:extLst>
            </c:dLbl>
            <c:dLbl>
              <c:idx val="3"/>
              <c:tx>
                <c:rich>
                  <a:bodyPr/>
                  <a:lstStyle/>
                  <a:p>
                    <a:r>
                      <a:rPr lang="en-US"/>
                      <a:t>+</a:t>
                    </a:r>
                    <a:fld id="{B39EAC6C-47DB-4A48-9DBD-E48F3C3644CC}"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496-4D80-856E-0C16A6C971BA}"/>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Foglio1!$A$2:$A$5</c:f>
              <c:strCache>
                <c:ptCount val="4"/>
                <c:pt idx="0">
                  <c:v>Spagna</c:v>
                </c:pt>
                <c:pt idx="1">
                  <c:v>Italia</c:v>
                </c:pt>
                <c:pt idx="2">
                  <c:v>Francia</c:v>
                </c:pt>
                <c:pt idx="3">
                  <c:v>Germania</c:v>
                </c:pt>
              </c:strCache>
            </c:strRef>
          </c:cat>
          <c:val>
            <c:numRef>
              <c:f>Foglio1!$B$2:$B$5</c:f>
              <c:numCache>
                <c:formatCode>0.0</c:formatCode>
                <c:ptCount val="4"/>
                <c:pt idx="0">
                  <c:v>80.840626941002938</c:v>
                </c:pt>
                <c:pt idx="1">
                  <c:v>54.9</c:v>
                </c:pt>
                <c:pt idx="2">
                  <c:v>41.030112426039977</c:v>
                </c:pt>
                <c:pt idx="3">
                  <c:v>38.490274800877053</c:v>
                </c:pt>
              </c:numCache>
            </c:numRef>
          </c:val>
          <c:extLst>
            <c:ext xmlns:c16="http://schemas.microsoft.com/office/drawing/2014/chart" uri="{C3380CC4-5D6E-409C-BE32-E72D297353CC}">
              <c16:uniqueId val="{00000004-9496-4D80-856E-0C16A6C971BA}"/>
            </c:ext>
          </c:extLst>
        </c:ser>
        <c:ser>
          <c:idx val="1"/>
          <c:order val="1"/>
          <c:tx>
            <c:strRef>
              <c:f>Foglio1!$C$1</c:f>
              <c:strCache>
                <c:ptCount val="1"/>
                <c:pt idx="0">
                  <c:v>Variazione dipendenti</c:v>
                </c:pt>
              </c:strCache>
            </c:strRef>
          </c:tx>
          <c:spPr>
            <a:solidFill>
              <a:srgbClr val="0D89BB"/>
            </a:solidFill>
            <a:ln>
              <a:noFill/>
            </a:ln>
            <a:effectLst/>
          </c:spPr>
          <c:invertIfNegative val="0"/>
          <c:dLbls>
            <c:dLbl>
              <c:idx val="0"/>
              <c:tx>
                <c:rich>
                  <a:bodyPr/>
                  <a:lstStyle/>
                  <a:p>
                    <a:r>
                      <a:rPr lang="en-US"/>
                      <a:t>+</a:t>
                    </a:r>
                    <a:fld id="{0ED46185-8ED3-473A-801F-A0EC921C46BE}"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5-9496-4D80-856E-0C16A6C971BA}"/>
                </c:ext>
              </c:extLst>
            </c:dLbl>
            <c:dLbl>
              <c:idx val="1"/>
              <c:tx>
                <c:rich>
                  <a:bodyPr/>
                  <a:lstStyle/>
                  <a:p>
                    <a:r>
                      <a:rPr lang="en-US"/>
                      <a:t>+</a:t>
                    </a:r>
                    <a:fld id="{577A3EC6-E895-4C46-BAD1-FD1E7EC07A9A}"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6-9496-4D80-856E-0C16A6C971BA}"/>
                </c:ext>
              </c:extLst>
            </c:dLbl>
            <c:dLbl>
              <c:idx val="2"/>
              <c:tx>
                <c:rich>
                  <a:bodyPr/>
                  <a:lstStyle/>
                  <a:p>
                    <a:r>
                      <a:rPr lang="en-US"/>
                      <a:t>+</a:t>
                    </a:r>
                    <a:fld id="{EC078B46-8CEE-4E6B-AC95-CC1AEA565C91}"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7-9496-4D80-856E-0C16A6C971BA}"/>
                </c:ext>
              </c:extLst>
            </c:dLbl>
            <c:dLbl>
              <c:idx val="3"/>
              <c:tx>
                <c:rich>
                  <a:bodyPr/>
                  <a:lstStyle/>
                  <a:p>
                    <a:r>
                      <a:rPr lang="en-US"/>
                      <a:t>+</a:t>
                    </a:r>
                    <a:fld id="{A2499CD0-47B8-47DD-AC77-07223298D23B}" type="VALUE">
                      <a:rPr lang="en-US"/>
                      <a:pPr/>
                      <a:t>[VALUE]</a:t>
                    </a:fld>
                    <a:endParaRPr lang="en-US"/>
                  </a:p>
                </c:rich>
              </c:tx>
              <c:showLegendKey val="0"/>
              <c:showVal val="1"/>
              <c:showCatName val="0"/>
              <c:showSerName val="0"/>
              <c:showPercent val="0"/>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8-9496-4D80-856E-0C16A6C971BA}"/>
                </c:ext>
              </c:extLst>
            </c:dLbl>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Foglio1!$A$2:$A$5</c:f>
              <c:strCache>
                <c:ptCount val="4"/>
                <c:pt idx="0">
                  <c:v>Spagna</c:v>
                </c:pt>
                <c:pt idx="1">
                  <c:v>Italia</c:v>
                </c:pt>
                <c:pt idx="2">
                  <c:v>Francia</c:v>
                </c:pt>
                <c:pt idx="3">
                  <c:v>Germania</c:v>
                </c:pt>
              </c:strCache>
            </c:strRef>
          </c:cat>
          <c:val>
            <c:numRef>
              <c:f>Foglio1!$C$2:$C$5</c:f>
              <c:numCache>
                <c:formatCode>0.0</c:formatCode>
                <c:ptCount val="4"/>
                <c:pt idx="0">
                  <c:v>45.826863007585892</c:v>
                </c:pt>
                <c:pt idx="1">
                  <c:v>24.2</c:v>
                </c:pt>
                <c:pt idx="2">
                  <c:v>11.451769268056221</c:v>
                </c:pt>
                <c:pt idx="3">
                  <c:v>8.8122771932875423</c:v>
                </c:pt>
              </c:numCache>
            </c:numRef>
          </c:val>
          <c:extLst>
            <c:ext xmlns:c16="http://schemas.microsoft.com/office/drawing/2014/chart" uri="{C3380CC4-5D6E-409C-BE32-E72D297353CC}">
              <c16:uniqueId val="{00000009-9496-4D80-856E-0C16A6C971BA}"/>
            </c:ext>
          </c:extLst>
        </c:ser>
        <c:dLbls>
          <c:showLegendKey val="0"/>
          <c:showVal val="0"/>
          <c:showCatName val="0"/>
          <c:showSerName val="0"/>
          <c:showPercent val="0"/>
          <c:showBubbleSize val="0"/>
        </c:dLbls>
        <c:gapWidth val="219"/>
        <c:overlap val="-27"/>
        <c:axId val="536350720"/>
        <c:axId val="536351080"/>
      </c:barChart>
      <c:catAx>
        <c:axId val="536350720"/>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536351080"/>
        <c:crosses val="autoZero"/>
        <c:auto val="1"/>
        <c:lblAlgn val="ctr"/>
        <c:lblOffset val="100"/>
        <c:noMultiLvlLbl val="0"/>
      </c:catAx>
      <c:valAx>
        <c:axId val="536351080"/>
        <c:scaling>
          <c:orientation val="minMax"/>
        </c:scaling>
        <c:delete val="1"/>
        <c:axPos val="l"/>
        <c:numFmt formatCode="0.0" sourceLinked="1"/>
        <c:majorTickMark val="none"/>
        <c:minorTickMark val="none"/>
        <c:tickLblPos val="nextTo"/>
        <c:crossAx val="53635072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legend>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userShapes r:id="rId4"/>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529281615708591"/>
          <c:y val="3.8947888450124958E-2"/>
          <c:w val="0.47071838429140894"/>
          <c:h val="0.95872034768819403"/>
        </c:manualLayout>
      </c:layout>
      <c:barChart>
        <c:barDir val="bar"/>
        <c:grouping val="clustered"/>
        <c:varyColors val="0"/>
        <c:ser>
          <c:idx val="0"/>
          <c:order val="0"/>
          <c:tx>
            <c:strRef>
              <c:f>'4.2'!$B$24</c:f>
              <c:strCache>
                <c:ptCount val="1"/>
                <c:pt idx="0">
                  <c:v>Medie imprese</c:v>
                </c:pt>
              </c:strCache>
            </c:strRef>
          </c:tx>
          <c:spPr>
            <a:solidFill>
              <a:srgbClr val="132745"/>
            </a:solidFill>
            <a:ln>
              <a:noFill/>
            </a:ln>
            <a:effectLst/>
          </c:spPr>
          <c:invertIfNegative val="0"/>
          <c:dLbls>
            <c:spPr>
              <a:noFill/>
              <a:ln>
                <a:noFill/>
              </a:ln>
              <a:effectLst/>
            </c:spPr>
            <c:txPr>
              <a:bodyPr rot="0" spcFirstLastPara="1" vertOverflow="ellipsis" vert="horz" wrap="square" anchor="ctr" anchorCtr="1"/>
              <a:lstStyle/>
              <a:p>
                <a:pP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'4.2'!$A$26:$A$38</c:f>
              <c:strCache>
                <c:ptCount val="13"/>
                <c:pt idx="0">
                  <c:v>Ricorso a mobilità sostenibile per lo spostamento dei dipendenti</c:v>
                </c:pt>
                <c:pt idx="1">
                  <c:v>Ricorso a mobilità sostenibile per il trasporto dei prodotti</c:v>
                </c:pt>
                <c:pt idx="2">
                  <c:v>Utilizzo di Materie Prime Seconde nei processi produttivi</c:v>
                </c:pt>
                <c:pt idx="3">
                  <c:v>Riqualificazione dei siti produttivi</c:v>
                </c:pt>
                <c:pt idx="4">
                  <c:v>Uso sostenibile delle risorse idriche</c:v>
                </c:pt>
                <c:pt idx="5">
                  <c:v>Sviluppo di prodotti con specifici attributi di sostenibilità</c:v>
                </c:pt>
                <c:pt idx="6">
                  <c:v>Contenimento dell’inquinamento acustico e/o luminoso</c:v>
                </c:pt>
                <c:pt idx="7">
                  <c:v>Mitigazione del rischio fisico (siccità, alluvioni, tempeste, …) attraverso la sottoscrizione di polizze assicurative</c:v>
                </c:pt>
                <c:pt idx="8">
                  <c:v>Riduzione degli imballaggi e/o utilizzo di materiale riciclato/riciclabile/riutilizzabile</c:v>
                </c:pt>
                <c:pt idx="9">
                  <c:v>Gestione responsabile delle catene di approvvigionamento e utilizzo di fornitori certificati</c:v>
                </c:pt>
                <c:pt idx="10">
                  <c:v>Formazione specifica dei dipendenti in ambito di sostenibilità ambientale</c:v>
                </c:pt>
                <c:pt idx="11">
                  <c:v>Gestione circolare dei rifiuti e promozione del riciclo</c:v>
                </c:pt>
                <c:pt idx="12">
                  <c:v>Riduzione dell’utilizzo di energia da fonti fossili e ricorso a fonti rinnovabili</c:v>
                </c:pt>
              </c:strCache>
            </c:strRef>
          </c:cat>
          <c:val>
            <c:numRef>
              <c:f>'4.2'!$B$26:$B$38</c:f>
              <c:numCache>
                <c:formatCode>0.0</c:formatCode>
                <c:ptCount val="13"/>
                <c:pt idx="0">
                  <c:v>4.7486033519553068</c:v>
                </c:pt>
                <c:pt idx="1">
                  <c:v>5.027932960893855</c:v>
                </c:pt>
                <c:pt idx="2">
                  <c:v>15.083798882681565</c:v>
                </c:pt>
                <c:pt idx="3">
                  <c:v>20.11173184357542</c:v>
                </c:pt>
                <c:pt idx="4">
                  <c:v>20.949720670391063</c:v>
                </c:pt>
                <c:pt idx="5">
                  <c:v>23.743016759776538</c:v>
                </c:pt>
                <c:pt idx="6">
                  <c:v>25.41899441340782</c:v>
                </c:pt>
                <c:pt idx="7">
                  <c:v>32.402234636871505</c:v>
                </c:pt>
                <c:pt idx="8">
                  <c:v>36.033519553072622</c:v>
                </c:pt>
                <c:pt idx="9">
                  <c:v>39.385474860335194</c:v>
                </c:pt>
                <c:pt idx="10">
                  <c:v>43.016759776536311</c:v>
                </c:pt>
                <c:pt idx="11">
                  <c:v>62.011173184357538</c:v>
                </c:pt>
                <c:pt idx="12">
                  <c:v>67.318435754189949</c:v>
                </c:pt>
              </c:numCache>
            </c:numRef>
          </c:val>
          <c:extLst>
            <c:ext xmlns:c16="http://schemas.microsoft.com/office/drawing/2014/chart" uri="{C3380CC4-5D6E-409C-BE32-E72D297353CC}">
              <c16:uniqueId val="{00000000-AE2F-4F8E-918F-0B77C95AC461}"/>
            </c:ext>
          </c:extLst>
        </c:ser>
        <c:dLbls>
          <c:showLegendKey val="0"/>
          <c:showVal val="0"/>
          <c:showCatName val="0"/>
          <c:showSerName val="0"/>
          <c:showPercent val="0"/>
          <c:showBubbleSize val="0"/>
        </c:dLbls>
        <c:gapWidth val="219"/>
        <c:axId val="872321720"/>
        <c:axId val="872310560"/>
      </c:barChart>
      <c:catAx>
        <c:axId val="872321720"/>
        <c:scaling>
          <c:orientation val="minMax"/>
        </c:scaling>
        <c:delete val="0"/>
        <c:axPos val="l"/>
        <c:numFmt formatCode="General" sourceLinked="1"/>
        <c:majorTickMark val="out"/>
        <c:minorTickMark val="none"/>
        <c:tickLblPos val="nextTo"/>
        <c:spPr>
          <a:noFill/>
          <a:ln w="9525" cap="flat" cmpd="sng" algn="ctr">
            <a:solidFill>
              <a:schemeClr val="bg1">
                <a:lumMod val="75000"/>
              </a:schemeClr>
            </a:solidFill>
            <a:round/>
          </a:ln>
          <a:effectLst/>
        </c:spPr>
        <c:txPr>
          <a:bodyPr rot="-60000000" spcFirstLastPara="1" vertOverflow="ellipsis" vert="horz" wrap="square" anchor="ctr" anchorCtr="1"/>
          <a:lstStyle/>
          <a:p>
            <a:pPr algn="r">
              <a:defRPr sz="8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it-IT"/>
          </a:p>
        </c:txPr>
        <c:crossAx val="872310560"/>
        <c:crosses val="autoZero"/>
        <c:auto val="1"/>
        <c:lblAlgn val="ctr"/>
        <c:lblOffset val="100"/>
        <c:noMultiLvlLbl val="0"/>
      </c:catAx>
      <c:valAx>
        <c:axId val="872310560"/>
        <c:scaling>
          <c:orientation val="minMax"/>
        </c:scaling>
        <c:delete val="1"/>
        <c:axPos val="b"/>
        <c:numFmt formatCode="0.0" sourceLinked="1"/>
        <c:majorTickMark val="none"/>
        <c:minorTickMark val="none"/>
        <c:tickLblPos val="nextTo"/>
        <c:crossAx val="872321720"/>
        <c:crosses val="autoZero"/>
        <c:crossBetween val="between"/>
      </c:valAx>
      <c:spPr>
        <a:noFill/>
        <a:ln>
          <a:noFill/>
        </a:ln>
        <a:effectLst/>
      </c:spPr>
    </c:plotArea>
    <c:plotVisOnly val="1"/>
    <c:dispBlanksAs val="gap"/>
    <c:showDLblsOverMax val="0"/>
  </c:chart>
  <c:spPr>
    <a:solidFill>
      <a:schemeClr val="bg1"/>
    </a:solidFill>
    <a:ln w="9525" cap="flat" cmpd="sng" algn="ctr">
      <a:noFill/>
      <a:round/>
    </a:ln>
    <a:effectLst/>
  </c:spPr>
  <c:txPr>
    <a:bodyPr/>
    <a:lstStyle/>
    <a:p>
      <a:pPr>
        <a:defRPr sz="800">
          <a:solidFill>
            <a:sysClr val="windowText" lastClr="000000"/>
          </a:solidFill>
          <a:latin typeface="Times New Roman" panose="02020603050405020304" pitchFamily="18" charset="0"/>
          <a:cs typeface="Times New Roman" panose="02020603050405020304" pitchFamily="18" charset="0"/>
        </a:defRPr>
      </a:pPr>
      <a:endParaRPr lang="it-IT"/>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0.27227</cdr:x>
      <cdr:y>0.12333</cdr:y>
    </cdr:from>
    <cdr:to>
      <cdr:x>0.49146</cdr:x>
      <cdr:y>0.8599</cdr:y>
    </cdr:to>
    <cdr:sp macro="" textlink="">
      <cdr:nvSpPr>
        <cdr:cNvPr id="2" name="Rettangolo 1"/>
        <cdr:cNvSpPr/>
      </cdr:nvSpPr>
      <cdr:spPr>
        <a:xfrm xmlns:a="http://schemas.openxmlformats.org/drawingml/2006/main">
          <a:off x="1548609" y="293597"/>
          <a:ext cx="1246686" cy="1753489"/>
        </a:xfrm>
        <a:prstGeom xmlns:a="http://schemas.openxmlformats.org/drawingml/2006/main" prst="rect">
          <a:avLst/>
        </a:prstGeom>
        <a:noFill xmlns:a="http://schemas.openxmlformats.org/drawingml/2006/main"/>
        <a:ln xmlns:a="http://schemas.openxmlformats.org/drawingml/2006/main">
          <a:solidFill>
            <a:schemeClr val="tx1"/>
          </a:solidFill>
          <a:prstDash val="dash"/>
        </a:ln>
      </cdr:spPr>
      <cdr:style>
        <a:lnRef xmlns:a="http://schemas.openxmlformats.org/drawingml/2006/main" idx="2">
          <a:schemeClr val="accent1">
            <a:shade val="15000"/>
          </a:schemeClr>
        </a:lnRef>
        <a:fillRef xmlns:a="http://schemas.openxmlformats.org/drawingml/2006/main" idx="1">
          <a:schemeClr val="accent1"/>
        </a:fillRef>
        <a:effectRef xmlns:a="http://schemas.openxmlformats.org/drawingml/2006/main" idx="0">
          <a:schemeClr val="accent1"/>
        </a:effectRef>
        <a:fontRef xmlns:a="http://schemas.openxmlformats.org/drawingml/2006/main" idx="minor">
          <a:schemeClr val="lt1"/>
        </a:fontRef>
      </cdr:style>
      <cdr:txBody>
        <a:bodyPr xmlns:a="http://schemas.openxmlformats.org/drawingml/2006/main" vertOverflow="clip"/>
        <a:lstStyle xmlns:a="http://schemas.openxmlformats.org/drawingml/2006/main"/>
        <a:p xmlns:a="http://schemas.openxmlformats.org/drawingml/2006/main">
          <a:endParaRPr lang="it-IT"/>
        </a:p>
      </cdr:txBody>
    </cdr:sp>
  </cdr:relSizeAnchor>
</c:userShape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Narrow"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2D4B3F-C594-418B-8BC5-0878AE822B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FORMAT COMUNICATO.dot</Template>
  <TotalTime>4</TotalTime>
  <Pages>6</Pages>
  <Words>2067</Words>
  <Characters>11786</Characters>
  <Application>Microsoft Office Word</Application>
  <DocSecurity>0</DocSecurity>
  <Lines>98</Lines>
  <Paragraphs>27</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comunicato stampa</vt:lpstr>
      <vt:lpstr>comunicato stampa</vt:lpstr>
    </vt:vector>
  </TitlesOfParts>
  <Company>Unioncamere</Company>
  <LinksUpToDate>false</LinksUpToDate>
  <CharactersWithSpaces>13826</CharactersWithSpaces>
  <SharedDoc>false</SharedDoc>
  <HLinks>
    <vt:vector size="12" baseType="variant">
      <vt:variant>
        <vt:i4>7405607</vt:i4>
      </vt:variant>
      <vt:variant>
        <vt:i4>-1</vt:i4>
      </vt:variant>
      <vt:variant>
        <vt:i4>2053</vt:i4>
      </vt:variant>
      <vt:variant>
        <vt:i4>4</vt:i4>
      </vt:variant>
      <vt:variant>
        <vt:lpwstr>https://www.tagliacarne.it/</vt:lpwstr>
      </vt:variant>
      <vt:variant>
        <vt:lpwstr/>
      </vt:variant>
      <vt:variant>
        <vt:i4>6553643</vt:i4>
      </vt:variant>
      <vt:variant>
        <vt:i4>-1</vt:i4>
      </vt:variant>
      <vt:variant>
        <vt:i4>2055</vt:i4>
      </vt:variant>
      <vt:variant>
        <vt:i4>4</vt:i4>
      </vt:variant>
      <vt:variant>
        <vt:lpwstr>https://twitter.com/IstTagliacarne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comunicato stampa</dc:title>
  <dc:creator>User</dc:creator>
  <cp:lastModifiedBy>Recchia Michela</cp:lastModifiedBy>
  <cp:revision>2</cp:revision>
  <cp:lastPrinted>2025-06-25T07:22:00Z</cp:lastPrinted>
  <dcterms:created xsi:type="dcterms:W3CDTF">2025-06-25T07:49:00Z</dcterms:created>
  <dcterms:modified xsi:type="dcterms:W3CDTF">2025-06-25T07:49:00Z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d44c729-f25f-4649-b708-d535dd0624a5_Enabled">
    <vt:lpwstr>true</vt:lpwstr>
  </property>
  <property fmtid="{D5CDD505-2E9C-101B-9397-08002B2CF9AE}" pid="3" name="MSIP_Label_1d44c729-f25f-4649-b708-d535dd0624a5_SetDate">
    <vt:lpwstr>2025-06-20T07:59:05Z</vt:lpwstr>
  </property>
  <property fmtid="{D5CDD505-2E9C-101B-9397-08002B2CF9AE}" pid="4" name="MSIP_Label_1d44c729-f25f-4649-b708-d535dd0624a5_Method">
    <vt:lpwstr>Standard</vt:lpwstr>
  </property>
  <property fmtid="{D5CDD505-2E9C-101B-9397-08002B2CF9AE}" pid="5" name="MSIP_Label_1d44c729-f25f-4649-b708-d535dd0624a5_Name">
    <vt:lpwstr>Internal Use</vt:lpwstr>
  </property>
  <property fmtid="{D5CDD505-2E9C-101B-9397-08002B2CF9AE}" pid="6" name="MSIP_Label_1d44c729-f25f-4649-b708-d535dd0624a5_SiteId">
    <vt:lpwstr>651c0c3c-5f6a-4dd1-a21e-34a77242c603</vt:lpwstr>
  </property>
  <property fmtid="{D5CDD505-2E9C-101B-9397-08002B2CF9AE}" pid="7" name="MSIP_Label_1d44c729-f25f-4649-b708-d535dd0624a5_ActionId">
    <vt:lpwstr>b101e16b-882d-4a52-96e9-1c9e3b9e5ae9</vt:lpwstr>
  </property>
  <property fmtid="{D5CDD505-2E9C-101B-9397-08002B2CF9AE}" pid="8" name="MSIP_Label_1d44c729-f25f-4649-b708-d535dd0624a5_ContentBits">
    <vt:lpwstr>0</vt:lpwstr>
  </property>
</Properties>
</file>