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014A" w14:textId="08D73D71" w:rsidR="00F247BF" w:rsidRPr="00F247BF" w:rsidRDefault="00F247BF" w:rsidP="00F247BF">
      <w:pPr>
        <w:jc w:val="center"/>
        <w:rPr>
          <w:rFonts w:ascii="Luiss Sans" w:hAnsi="Luiss Sans"/>
          <w:b/>
          <w:bCs/>
          <w:sz w:val="24"/>
          <w:szCs w:val="24"/>
          <w:u w:val="single"/>
          <w:lang w:val="it-IT"/>
        </w:rPr>
      </w:pPr>
      <w:r w:rsidRPr="00F247BF">
        <w:rPr>
          <w:rFonts w:ascii="Luiss Sans" w:hAnsi="Luiss Sans"/>
          <w:b/>
          <w:bCs/>
          <w:sz w:val="24"/>
          <w:szCs w:val="24"/>
          <w:u w:val="single"/>
          <w:lang w:val="it-IT"/>
        </w:rPr>
        <w:t>COMUNICATO STAMPA</w:t>
      </w:r>
    </w:p>
    <w:p w14:paraId="445CC8E7" w14:textId="2365FB0D" w:rsidR="00F247BF" w:rsidRPr="00F247BF" w:rsidRDefault="00F247BF" w:rsidP="00F247BF">
      <w:pPr>
        <w:jc w:val="center"/>
        <w:rPr>
          <w:rFonts w:ascii="Luiss Sans" w:hAnsi="Luiss Sans"/>
          <w:b/>
          <w:bCs/>
          <w:sz w:val="24"/>
          <w:szCs w:val="24"/>
          <w:u w:val="single"/>
          <w:lang w:val="it-IT"/>
        </w:rPr>
      </w:pPr>
      <w:r w:rsidRPr="00F247BF">
        <w:rPr>
          <w:rFonts w:ascii="Luiss Sans" w:hAnsi="Luiss Sans"/>
          <w:b/>
          <w:bCs/>
          <w:sz w:val="24"/>
          <w:szCs w:val="24"/>
          <w:u w:val="single"/>
          <w:lang w:val="it-IT"/>
        </w:rPr>
        <w:t>10 TESI PER LA SOSTENIBILITA’</w:t>
      </w:r>
    </w:p>
    <w:p w14:paraId="1A5CD8E0" w14:textId="72211EB1" w:rsidR="00F247BF" w:rsidRPr="00F247BF" w:rsidRDefault="00F247BF" w:rsidP="00F247BF">
      <w:pPr>
        <w:jc w:val="center"/>
        <w:rPr>
          <w:rFonts w:ascii="Luiss Sans" w:hAnsi="Luiss Sans"/>
          <w:b/>
          <w:bCs/>
          <w:sz w:val="24"/>
          <w:szCs w:val="24"/>
          <w:lang w:val="it-IT"/>
        </w:rPr>
      </w:pPr>
      <w:r w:rsidRPr="00F247BF">
        <w:rPr>
          <w:rFonts w:ascii="Luiss Sans" w:hAnsi="Luiss Sans"/>
          <w:b/>
          <w:bCs/>
          <w:sz w:val="24"/>
          <w:szCs w:val="24"/>
          <w:lang w:val="it-IT"/>
        </w:rPr>
        <w:t>UNIVERSITA’ E NEOLAUREATI IN CAMPO PER UN FUTURO A MISSIONE D’UOMO</w:t>
      </w:r>
    </w:p>
    <w:p w14:paraId="0FC4DE9B" w14:textId="28BB7752" w:rsidR="00F247BF" w:rsidRPr="00F247BF" w:rsidRDefault="00F247BF" w:rsidP="00F247BF">
      <w:pPr>
        <w:jc w:val="center"/>
        <w:rPr>
          <w:rFonts w:ascii="Luiss Sans" w:hAnsi="Luiss Sans"/>
          <w:b/>
          <w:bCs/>
          <w:sz w:val="24"/>
          <w:szCs w:val="24"/>
          <w:lang w:val="it-IT"/>
        </w:rPr>
      </w:pPr>
    </w:p>
    <w:p w14:paraId="3ADD5676" w14:textId="7FF6725E" w:rsidR="00F247BF" w:rsidRPr="00F247BF" w:rsidRDefault="00F247BF" w:rsidP="00F247BF">
      <w:pPr>
        <w:jc w:val="center"/>
        <w:rPr>
          <w:rFonts w:ascii="Luiss Sans" w:hAnsi="Luiss Sans"/>
          <w:b/>
          <w:bCs/>
          <w:sz w:val="24"/>
          <w:szCs w:val="24"/>
          <w:lang w:val="it-IT"/>
        </w:rPr>
      </w:pPr>
      <w:r w:rsidRPr="00F247BF">
        <w:rPr>
          <w:rFonts w:ascii="Luiss Sans" w:hAnsi="Luiss Sans"/>
          <w:b/>
          <w:bCs/>
          <w:sz w:val="24"/>
          <w:szCs w:val="24"/>
          <w:lang w:val="it-IT"/>
        </w:rPr>
        <w:t>2062 PARTECIPANTI (62% DONNE, 38% UOMINI) AL BANDO DI CONCORSO “10 TESI PER LA SOSTENIBILITA’” DI FONDAZIONE SYMBOLA, LUISS E UNIONCAMERE CON IL SOSTEGNO DI DELOITTE CLIMATE &amp; SUSTAINABILITY E IL PATROCINIO DEL MIUR</w:t>
      </w:r>
    </w:p>
    <w:p w14:paraId="2C8E8AD8" w14:textId="753168D8" w:rsidR="00F247BF" w:rsidRPr="00F247BF" w:rsidRDefault="00F247BF" w:rsidP="00F247BF">
      <w:pPr>
        <w:jc w:val="center"/>
        <w:rPr>
          <w:rFonts w:ascii="Luiss Sans" w:hAnsi="Luiss Sans"/>
          <w:b/>
          <w:bCs/>
          <w:sz w:val="24"/>
          <w:szCs w:val="24"/>
          <w:lang w:val="it-IT"/>
        </w:rPr>
      </w:pPr>
      <w:r w:rsidRPr="00F247BF">
        <w:rPr>
          <w:rFonts w:ascii="Luiss Sans" w:hAnsi="Luiss Sans"/>
          <w:b/>
          <w:bCs/>
          <w:sz w:val="24"/>
          <w:szCs w:val="24"/>
          <w:lang w:val="it-IT"/>
        </w:rPr>
        <w:t>PER LE IMPRESE INTERESSATE LE TESI SONO CONSULTABILI SUL SITO WWW.SYMBOLA.NET</w:t>
      </w:r>
    </w:p>
    <w:p w14:paraId="1AF8AE5B" w14:textId="77777777" w:rsidR="00F247BF" w:rsidRDefault="00F247BF" w:rsidP="00793EED">
      <w:pPr>
        <w:jc w:val="both"/>
        <w:rPr>
          <w:rFonts w:ascii="Luiss Sans" w:hAnsi="Luiss Sans"/>
          <w:sz w:val="28"/>
          <w:szCs w:val="28"/>
          <w:lang w:val="it-IT"/>
        </w:rPr>
      </w:pPr>
    </w:p>
    <w:p w14:paraId="7823E7C9" w14:textId="77777777" w:rsidR="00F247BF" w:rsidRDefault="00F247BF" w:rsidP="00793EED">
      <w:pPr>
        <w:jc w:val="both"/>
        <w:rPr>
          <w:rFonts w:ascii="Luiss Sans" w:hAnsi="Luiss Sans"/>
          <w:sz w:val="28"/>
          <w:szCs w:val="28"/>
          <w:lang w:val="it-IT"/>
        </w:rPr>
      </w:pPr>
    </w:p>
    <w:p w14:paraId="63AA4D6C" w14:textId="43707262" w:rsidR="00C9202F" w:rsidRDefault="00F72ABB" w:rsidP="00793EED">
      <w:pPr>
        <w:jc w:val="both"/>
        <w:rPr>
          <w:rFonts w:ascii="Luiss Sans" w:hAnsi="Luiss Sans"/>
          <w:sz w:val="28"/>
          <w:szCs w:val="28"/>
          <w:lang w:val="it-IT"/>
        </w:rPr>
      </w:pPr>
      <w:r>
        <w:rPr>
          <w:rFonts w:ascii="Luiss Sans" w:hAnsi="Luiss Sans"/>
          <w:sz w:val="28"/>
          <w:szCs w:val="28"/>
          <w:lang w:val="it-IT"/>
        </w:rPr>
        <w:t xml:space="preserve">Dall’economia all’ingegneria, dalla letteratura alle scienze politiche, sono moltissimi i campi del sapere che mettono al centro il tema della sostenibilità come un vero e proprio fil rouge di questo secolo che lega ambiti di studio apparentemente inconciliabili e professionisti provenienti da diverse discipline. </w:t>
      </w:r>
    </w:p>
    <w:p w14:paraId="5D8ACE9B" w14:textId="13848216" w:rsidR="00F72ABB" w:rsidRDefault="00F72ABB" w:rsidP="00793EED">
      <w:pPr>
        <w:jc w:val="both"/>
        <w:rPr>
          <w:rFonts w:ascii="Luiss Sans" w:hAnsi="Luiss Sans"/>
          <w:sz w:val="28"/>
          <w:szCs w:val="28"/>
          <w:lang w:val="it-IT"/>
        </w:rPr>
      </w:pPr>
      <w:r>
        <w:rPr>
          <w:rFonts w:ascii="Luiss Sans" w:hAnsi="Luiss Sans"/>
          <w:sz w:val="28"/>
          <w:szCs w:val="28"/>
          <w:lang w:val="it-IT"/>
        </w:rPr>
        <w:t xml:space="preserve">Da questa interdisciplinarietà di saperi nasce </w:t>
      </w:r>
      <w:r w:rsidRPr="00994F7F">
        <w:rPr>
          <w:rFonts w:ascii="Luiss Sans" w:hAnsi="Luiss Sans"/>
          <w:b/>
          <w:bCs/>
          <w:sz w:val="28"/>
          <w:szCs w:val="28"/>
          <w:lang w:val="it-IT"/>
        </w:rPr>
        <w:t>“10 tesi per la sostenibilità”</w:t>
      </w:r>
      <w:r>
        <w:rPr>
          <w:rFonts w:ascii="Luiss Sans" w:hAnsi="Luiss Sans"/>
          <w:sz w:val="28"/>
          <w:szCs w:val="28"/>
          <w:lang w:val="it-IT"/>
        </w:rPr>
        <w:t xml:space="preserve">: iniziativa di </w:t>
      </w:r>
      <w:r w:rsidRPr="00994F7F">
        <w:rPr>
          <w:rFonts w:ascii="Luiss Sans" w:hAnsi="Luiss Sans"/>
          <w:b/>
          <w:bCs/>
          <w:sz w:val="28"/>
          <w:szCs w:val="28"/>
          <w:lang w:val="it-IT"/>
        </w:rPr>
        <w:t>Fondazione Symbola,</w:t>
      </w:r>
      <w:r>
        <w:rPr>
          <w:rFonts w:ascii="Luiss Sans" w:hAnsi="Luiss Sans"/>
          <w:sz w:val="28"/>
          <w:szCs w:val="28"/>
          <w:lang w:val="it-IT"/>
        </w:rPr>
        <w:t xml:space="preserve"> </w:t>
      </w:r>
      <w:r w:rsidRPr="00994F7F">
        <w:rPr>
          <w:rFonts w:ascii="Luiss Sans" w:hAnsi="Luiss Sans"/>
          <w:b/>
          <w:bCs/>
          <w:sz w:val="28"/>
          <w:szCs w:val="28"/>
          <w:lang w:val="it-IT"/>
        </w:rPr>
        <w:t>Università Luiss Guido Carli, Unioncamere,</w:t>
      </w:r>
      <w:r>
        <w:rPr>
          <w:rFonts w:ascii="Luiss Sans" w:hAnsi="Luiss Sans"/>
          <w:sz w:val="28"/>
          <w:szCs w:val="28"/>
          <w:lang w:val="it-IT"/>
        </w:rPr>
        <w:t xml:space="preserve"> con il sostegno di </w:t>
      </w:r>
      <w:r w:rsidRPr="00994F7F">
        <w:rPr>
          <w:rFonts w:ascii="Luiss Sans" w:hAnsi="Luiss Sans"/>
          <w:b/>
          <w:bCs/>
          <w:sz w:val="28"/>
          <w:szCs w:val="28"/>
          <w:lang w:val="it-IT"/>
        </w:rPr>
        <w:t>Deloitte Climate &amp; Sustainability</w:t>
      </w:r>
      <w:r>
        <w:rPr>
          <w:rFonts w:ascii="Luiss Sans" w:hAnsi="Luiss Sans"/>
          <w:sz w:val="28"/>
          <w:szCs w:val="28"/>
          <w:lang w:val="it-IT"/>
        </w:rPr>
        <w:t xml:space="preserve"> e il patrocinio del Ministero dell’Università e della Ricerca, della Conferenza dei Rettori (Crui), la collaborazione del Consorzio Interuniversitario AlmaLaurea, della Rete dell’Università per lo Sviluppo sostenibile (RUS) e del Consorzio Interuniversitario nazionale per la Scienza e la Tecnologia dei Materiali (Instm).</w:t>
      </w:r>
      <w:r w:rsidR="009266B0">
        <w:rPr>
          <w:rFonts w:ascii="Luiss Sans" w:hAnsi="Luiss Sans"/>
          <w:sz w:val="28"/>
          <w:szCs w:val="28"/>
          <w:lang w:val="it-IT"/>
        </w:rPr>
        <w:t xml:space="preserve"> Alla </w:t>
      </w:r>
      <w:r>
        <w:rPr>
          <w:rFonts w:ascii="Luiss Sans" w:hAnsi="Luiss Sans"/>
          <w:sz w:val="28"/>
          <w:szCs w:val="28"/>
          <w:lang w:val="it-IT"/>
        </w:rPr>
        <w:t xml:space="preserve">iniziativa, a cui hanno aderito altri 20 atenei, </w:t>
      </w:r>
      <w:r w:rsidR="009266B0">
        <w:rPr>
          <w:rFonts w:ascii="Luiss Sans" w:hAnsi="Luiss Sans"/>
          <w:sz w:val="28"/>
          <w:szCs w:val="28"/>
          <w:lang w:val="it-IT"/>
        </w:rPr>
        <w:t xml:space="preserve">hanno partecipato </w:t>
      </w:r>
      <w:r w:rsidRPr="00994F7F">
        <w:rPr>
          <w:rFonts w:ascii="Luiss Sans" w:hAnsi="Luiss Sans"/>
          <w:b/>
          <w:bCs/>
          <w:sz w:val="28"/>
          <w:szCs w:val="28"/>
          <w:lang w:val="it-IT"/>
        </w:rPr>
        <w:t xml:space="preserve">2062 </w:t>
      </w:r>
      <w:r>
        <w:rPr>
          <w:rFonts w:ascii="Luiss Sans" w:hAnsi="Luiss Sans"/>
          <w:sz w:val="28"/>
          <w:szCs w:val="28"/>
          <w:lang w:val="it-IT"/>
        </w:rPr>
        <w:t>studentesse e studenti (</w:t>
      </w:r>
      <w:r w:rsidRPr="00994F7F">
        <w:rPr>
          <w:rFonts w:ascii="Luiss Sans" w:hAnsi="Luiss Sans"/>
          <w:b/>
          <w:bCs/>
          <w:sz w:val="28"/>
          <w:szCs w:val="28"/>
          <w:lang w:val="it-IT"/>
        </w:rPr>
        <w:t>62%</w:t>
      </w:r>
      <w:r>
        <w:rPr>
          <w:rFonts w:ascii="Luiss Sans" w:hAnsi="Luiss Sans"/>
          <w:sz w:val="28"/>
          <w:szCs w:val="28"/>
          <w:lang w:val="it-IT"/>
        </w:rPr>
        <w:t xml:space="preserve"> donne, </w:t>
      </w:r>
      <w:r w:rsidRPr="00994F7F">
        <w:rPr>
          <w:rFonts w:ascii="Luiss Sans" w:hAnsi="Luiss Sans"/>
          <w:b/>
          <w:bCs/>
          <w:sz w:val="28"/>
          <w:szCs w:val="28"/>
          <w:lang w:val="it-IT"/>
        </w:rPr>
        <w:t>38%</w:t>
      </w:r>
      <w:r>
        <w:rPr>
          <w:rFonts w:ascii="Luiss Sans" w:hAnsi="Luiss Sans"/>
          <w:sz w:val="28"/>
          <w:szCs w:val="28"/>
          <w:lang w:val="it-IT"/>
        </w:rPr>
        <w:t xml:space="preserve"> uomini)</w:t>
      </w:r>
      <w:r w:rsidR="00165FAC">
        <w:rPr>
          <w:rFonts w:ascii="Luiss Sans" w:hAnsi="Luiss Sans"/>
          <w:sz w:val="28"/>
          <w:szCs w:val="28"/>
          <w:lang w:val="it-IT"/>
        </w:rPr>
        <w:t xml:space="preserve"> provenienti da oltre </w:t>
      </w:r>
      <w:r w:rsidR="00165FAC" w:rsidRPr="00994F7F">
        <w:rPr>
          <w:rFonts w:ascii="Luiss Sans" w:hAnsi="Luiss Sans"/>
          <w:b/>
          <w:bCs/>
          <w:sz w:val="28"/>
          <w:szCs w:val="28"/>
          <w:lang w:val="it-IT"/>
        </w:rPr>
        <w:t xml:space="preserve">80 </w:t>
      </w:r>
      <w:r w:rsidR="00165FAC">
        <w:rPr>
          <w:rFonts w:ascii="Luiss Sans" w:hAnsi="Luiss Sans"/>
          <w:sz w:val="28"/>
          <w:szCs w:val="28"/>
          <w:lang w:val="it-IT"/>
        </w:rPr>
        <w:t xml:space="preserve">università in tutta Italia. </w:t>
      </w:r>
    </w:p>
    <w:p w14:paraId="6C648097" w14:textId="7CCA158D" w:rsidR="00165FAC" w:rsidRDefault="00165FAC" w:rsidP="00793EED">
      <w:pPr>
        <w:jc w:val="both"/>
        <w:rPr>
          <w:rFonts w:ascii="Luiss Sans" w:hAnsi="Luiss Sans"/>
          <w:sz w:val="28"/>
          <w:szCs w:val="28"/>
          <w:lang w:val="it-IT"/>
        </w:rPr>
      </w:pPr>
      <w:r>
        <w:rPr>
          <w:rFonts w:ascii="Luiss Sans" w:hAnsi="Luiss Sans"/>
          <w:sz w:val="28"/>
          <w:szCs w:val="28"/>
          <w:lang w:val="it-IT"/>
        </w:rPr>
        <w:t xml:space="preserve">I </w:t>
      </w:r>
      <w:r w:rsidRPr="00994F7F">
        <w:rPr>
          <w:rFonts w:ascii="Luiss Sans" w:hAnsi="Luiss Sans"/>
          <w:b/>
          <w:bCs/>
          <w:sz w:val="28"/>
          <w:szCs w:val="28"/>
          <w:lang w:val="it-IT"/>
        </w:rPr>
        <w:t>10</w:t>
      </w:r>
      <w:r>
        <w:rPr>
          <w:rFonts w:ascii="Luiss Sans" w:hAnsi="Luiss Sans"/>
          <w:sz w:val="28"/>
          <w:szCs w:val="28"/>
          <w:lang w:val="it-IT"/>
        </w:rPr>
        <w:t xml:space="preserve"> vincitori (</w:t>
      </w:r>
      <w:r w:rsidRPr="00994F7F">
        <w:rPr>
          <w:rFonts w:ascii="Luiss Sans" w:hAnsi="Luiss Sans"/>
          <w:b/>
          <w:bCs/>
          <w:sz w:val="28"/>
          <w:szCs w:val="28"/>
          <w:lang w:val="it-IT"/>
        </w:rPr>
        <w:t xml:space="preserve">6 </w:t>
      </w:r>
      <w:r>
        <w:rPr>
          <w:rFonts w:ascii="Luiss Sans" w:hAnsi="Luiss Sans"/>
          <w:sz w:val="28"/>
          <w:szCs w:val="28"/>
          <w:lang w:val="it-IT"/>
        </w:rPr>
        <w:t xml:space="preserve">donne e </w:t>
      </w:r>
      <w:r w:rsidRPr="00994F7F">
        <w:rPr>
          <w:rFonts w:ascii="Luiss Sans" w:hAnsi="Luiss Sans"/>
          <w:b/>
          <w:bCs/>
          <w:sz w:val="28"/>
          <w:szCs w:val="28"/>
          <w:lang w:val="it-IT"/>
        </w:rPr>
        <w:t>4</w:t>
      </w:r>
      <w:r>
        <w:rPr>
          <w:rFonts w:ascii="Luiss Sans" w:hAnsi="Luiss Sans"/>
          <w:sz w:val="28"/>
          <w:szCs w:val="28"/>
          <w:lang w:val="it-IT"/>
        </w:rPr>
        <w:t xml:space="preserve"> uomini), che riceveranno un premio in denaro messo a disposizione dall’Ateneo intitolato a Guido Carli, provengono dalle seguenti università: Campus Bio-medico di Roma, Luiss, Politecnico di Milano, Politecnico di Torino, Università Ca’ Foscari di Venezia, Università Cattolica del Sacro Cuore, Università degli Studi di Catania, Università degli Studi di Palermo e Università Politecnica delle Marche. A questi si aggiungono </w:t>
      </w:r>
      <w:r w:rsidRPr="00994F7F">
        <w:rPr>
          <w:rFonts w:ascii="Luiss Sans" w:hAnsi="Luiss Sans"/>
          <w:b/>
          <w:bCs/>
          <w:sz w:val="28"/>
          <w:szCs w:val="28"/>
          <w:lang w:val="it-IT"/>
        </w:rPr>
        <w:t>90 menzioni speciali</w:t>
      </w:r>
      <w:r>
        <w:rPr>
          <w:rFonts w:ascii="Luiss Sans" w:hAnsi="Luiss Sans"/>
          <w:sz w:val="28"/>
          <w:szCs w:val="28"/>
          <w:lang w:val="it-IT"/>
        </w:rPr>
        <w:t xml:space="preserve">. L’elenco delle </w:t>
      </w:r>
      <w:proofErr w:type="gramStart"/>
      <w:r>
        <w:rPr>
          <w:rFonts w:ascii="Luiss Sans" w:hAnsi="Luiss Sans"/>
          <w:sz w:val="28"/>
          <w:szCs w:val="28"/>
          <w:lang w:val="it-IT"/>
        </w:rPr>
        <w:t>100</w:t>
      </w:r>
      <w:proofErr w:type="gramEnd"/>
      <w:r>
        <w:rPr>
          <w:rFonts w:ascii="Luiss Sans" w:hAnsi="Luiss Sans"/>
          <w:sz w:val="28"/>
          <w:szCs w:val="28"/>
          <w:lang w:val="it-IT"/>
        </w:rPr>
        <w:t xml:space="preserve"> tesi premiate è consultabile sul sito </w:t>
      </w:r>
      <w:r w:rsidRPr="00994F7F">
        <w:rPr>
          <w:rFonts w:ascii="Luiss Sans" w:hAnsi="Luiss Sans"/>
          <w:b/>
          <w:bCs/>
          <w:sz w:val="28"/>
          <w:szCs w:val="28"/>
          <w:lang w:val="it-IT"/>
        </w:rPr>
        <w:t>www.symbola.net</w:t>
      </w:r>
      <w:r>
        <w:rPr>
          <w:rFonts w:ascii="Luiss Sans" w:hAnsi="Luiss Sans"/>
          <w:sz w:val="28"/>
          <w:szCs w:val="28"/>
          <w:lang w:val="it-IT"/>
        </w:rPr>
        <w:t xml:space="preserve">. </w:t>
      </w:r>
    </w:p>
    <w:p w14:paraId="6FA9B6F5" w14:textId="2F77B7E7" w:rsidR="00165FAC" w:rsidRDefault="00165FAC" w:rsidP="00793EED">
      <w:pPr>
        <w:jc w:val="both"/>
        <w:rPr>
          <w:rFonts w:ascii="Luiss Sans" w:hAnsi="Luiss Sans"/>
          <w:sz w:val="28"/>
          <w:szCs w:val="28"/>
          <w:lang w:val="it-IT"/>
        </w:rPr>
      </w:pPr>
      <w:r>
        <w:rPr>
          <w:rFonts w:ascii="Luiss Sans" w:hAnsi="Luiss Sans"/>
          <w:sz w:val="28"/>
          <w:szCs w:val="28"/>
          <w:lang w:val="it-IT"/>
        </w:rPr>
        <w:t xml:space="preserve">La selezione delle tesi più meritevoli si è articolata in due fasi distinte: in prima battuta un Comitato Tecnico, composto dalle </w:t>
      </w:r>
      <w:r w:rsidRPr="00994F7F">
        <w:rPr>
          <w:rFonts w:ascii="Luiss Sans" w:hAnsi="Luiss Sans"/>
          <w:b/>
          <w:bCs/>
          <w:sz w:val="28"/>
          <w:szCs w:val="28"/>
          <w:lang w:val="it-IT"/>
        </w:rPr>
        <w:t xml:space="preserve">21 </w:t>
      </w:r>
      <w:r w:rsidR="00994F7F">
        <w:rPr>
          <w:rFonts w:ascii="Luiss Sans" w:hAnsi="Luiss Sans"/>
          <w:b/>
          <w:bCs/>
          <w:sz w:val="28"/>
          <w:szCs w:val="28"/>
          <w:lang w:val="it-IT"/>
        </w:rPr>
        <w:t>u</w:t>
      </w:r>
      <w:r w:rsidRPr="00994F7F">
        <w:rPr>
          <w:rFonts w:ascii="Luiss Sans" w:hAnsi="Luiss Sans"/>
          <w:b/>
          <w:bCs/>
          <w:sz w:val="28"/>
          <w:szCs w:val="28"/>
          <w:lang w:val="it-IT"/>
        </w:rPr>
        <w:t>niversità aderenti</w:t>
      </w:r>
      <w:r>
        <w:rPr>
          <w:rFonts w:ascii="Luiss Sans" w:hAnsi="Luiss Sans"/>
          <w:sz w:val="28"/>
          <w:szCs w:val="28"/>
          <w:lang w:val="it-IT"/>
        </w:rPr>
        <w:t xml:space="preserve"> all’iniziativa, ha individuato i migliori 100 elaborati e, successivamente, un Comitato Scientifico presieduto dalla Professoressa </w:t>
      </w:r>
      <w:r w:rsidRPr="00994F7F">
        <w:rPr>
          <w:rFonts w:ascii="Luiss Sans" w:hAnsi="Luiss Sans"/>
          <w:b/>
          <w:bCs/>
          <w:sz w:val="28"/>
          <w:szCs w:val="28"/>
          <w:lang w:val="it-IT"/>
        </w:rPr>
        <w:t>Paola Severino</w:t>
      </w:r>
      <w:r>
        <w:rPr>
          <w:rFonts w:ascii="Luiss Sans" w:hAnsi="Luiss Sans"/>
          <w:sz w:val="28"/>
          <w:szCs w:val="28"/>
          <w:lang w:val="it-IT"/>
        </w:rPr>
        <w:t xml:space="preserve">, Presidente della Luiss School of Law, e dal Professore </w:t>
      </w:r>
      <w:r w:rsidRPr="00994F7F">
        <w:rPr>
          <w:rFonts w:ascii="Luiss Sans" w:hAnsi="Luiss Sans"/>
          <w:b/>
          <w:bCs/>
          <w:sz w:val="28"/>
          <w:szCs w:val="28"/>
          <w:lang w:val="it-IT"/>
        </w:rPr>
        <w:t>Stefano Zamagni</w:t>
      </w:r>
      <w:r>
        <w:rPr>
          <w:rFonts w:ascii="Luiss Sans" w:hAnsi="Luiss Sans"/>
          <w:sz w:val="28"/>
          <w:szCs w:val="28"/>
          <w:lang w:val="it-IT"/>
        </w:rPr>
        <w:t xml:space="preserve">, docente di economia dell’Alma Mater Studiorum di Bologna – ha scelto i dieci vincitori. </w:t>
      </w:r>
    </w:p>
    <w:p w14:paraId="08EF57B0" w14:textId="6103A379" w:rsidR="00165FAC" w:rsidRDefault="00165FAC" w:rsidP="00793EED">
      <w:pPr>
        <w:jc w:val="both"/>
        <w:rPr>
          <w:rFonts w:ascii="Luiss Sans" w:hAnsi="Luiss Sans"/>
          <w:sz w:val="28"/>
          <w:szCs w:val="28"/>
          <w:lang w:val="it-IT"/>
        </w:rPr>
      </w:pPr>
    </w:p>
    <w:p w14:paraId="63A33D0F" w14:textId="4E2B0823" w:rsidR="00165FAC" w:rsidRDefault="00165FAC" w:rsidP="00793EED">
      <w:pPr>
        <w:jc w:val="both"/>
        <w:rPr>
          <w:rFonts w:ascii="Luiss Sans" w:hAnsi="Luiss Sans"/>
          <w:sz w:val="28"/>
          <w:szCs w:val="28"/>
          <w:lang w:val="it-IT"/>
        </w:rPr>
      </w:pPr>
      <w:r>
        <w:rPr>
          <w:rFonts w:ascii="Luiss Sans" w:hAnsi="Luiss Sans"/>
          <w:sz w:val="28"/>
          <w:szCs w:val="28"/>
          <w:lang w:val="it-IT"/>
        </w:rPr>
        <w:t xml:space="preserve">“Il primo bando ’10 tesi per la sostenibilità’ ha visto una partecipazione straordinaria anche rispetto alle nostre previsioni. Ci può fornire informazioni e stimoli importanti. La possibilità di affrontare le sfide che abbiamo davanti – dichiara </w:t>
      </w:r>
      <w:r w:rsidRPr="00994F7F">
        <w:rPr>
          <w:rFonts w:ascii="Luiss Sans" w:hAnsi="Luiss Sans"/>
          <w:b/>
          <w:bCs/>
          <w:sz w:val="28"/>
          <w:szCs w:val="28"/>
          <w:lang w:val="it-IT"/>
        </w:rPr>
        <w:t>Ermete Realacci, Presidente di Fondazione Symbola</w:t>
      </w:r>
      <w:r>
        <w:rPr>
          <w:rFonts w:ascii="Luiss Sans" w:hAnsi="Luiss Sans"/>
          <w:sz w:val="28"/>
          <w:szCs w:val="28"/>
          <w:lang w:val="it-IT"/>
        </w:rPr>
        <w:t xml:space="preserve"> – deve contare anche sulle energie pulite e rinnovabili dei saperi e delle intelligenze </w:t>
      </w:r>
      <w:r>
        <w:rPr>
          <w:rFonts w:ascii="Luiss Sans" w:hAnsi="Luiss Sans"/>
          <w:sz w:val="28"/>
          <w:szCs w:val="28"/>
          <w:lang w:val="it-IT"/>
        </w:rPr>
        <w:lastRenderedPageBreak/>
        <w:t xml:space="preserve">giovani presenti nel nostro Paese. </w:t>
      </w:r>
      <w:proofErr w:type="gramStart"/>
      <w:r>
        <w:rPr>
          <w:rFonts w:ascii="Luiss Sans" w:hAnsi="Luiss Sans"/>
          <w:sz w:val="28"/>
          <w:szCs w:val="28"/>
          <w:lang w:val="it-IT"/>
        </w:rPr>
        <w:t>E’</w:t>
      </w:r>
      <w:proofErr w:type="gramEnd"/>
      <w:r>
        <w:rPr>
          <w:rFonts w:ascii="Luiss Sans" w:hAnsi="Luiss Sans"/>
          <w:sz w:val="28"/>
          <w:szCs w:val="28"/>
          <w:lang w:val="it-IT"/>
        </w:rPr>
        <w:t xml:space="preserve"> un’iniziativa inedita che oggi premia 10 tesi universitarie provenienti da aree disciplinari</w:t>
      </w:r>
      <w:r w:rsidR="003D67C0">
        <w:rPr>
          <w:rFonts w:ascii="Luiss Sans" w:hAnsi="Luiss Sans"/>
          <w:sz w:val="28"/>
          <w:szCs w:val="28"/>
          <w:lang w:val="it-IT"/>
        </w:rPr>
        <w:t xml:space="preserve"> diverse che hanno forti e originali riferimenti alla sostenibilità. Un’occasione per chiamare a raccolta e dare forza ad un’Italia che fa l’Italia. Affrontare con coraggio la crisi climatica non è solo necessario, ma rappresenta una grande occasione per rendere la nostra economia e la nostra società più a misura d’uomo e per questo più capaci di futuro”.</w:t>
      </w:r>
    </w:p>
    <w:p w14:paraId="6C2D27DD" w14:textId="08997B12" w:rsidR="003D67C0" w:rsidRDefault="003D67C0" w:rsidP="00793EED">
      <w:pPr>
        <w:jc w:val="both"/>
        <w:rPr>
          <w:rFonts w:ascii="Luiss Sans" w:hAnsi="Luiss Sans"/>
          <w:sz w:val="28"/>
          <w:szCs w:val="28"/>
          <w:lang w:val="it-IT"/>
        </w:rPr>
      </w:pPr>
      <w:r>
        <w:rPr>
          <w:rFonts w:ascii="Luiss Sans" w:hAnsi="Luiss Sans"/>
          <w:sz w:val="28"/>
          <w:szCs w:val="28"/>
          <w:lang w:val="it-IT"/>
        </w:rPr>
        <w:t xml:space="preserve">“E’ per me un grande onore avere contribuito alla selezione degli elaborati più meritevoli, un compito stimolante cui si affianca la soddisfazione per la selezione di uno studente del nostro Ateneo fra i vincitori”, ha dichiarato la Professoressa </w:t>
      </w:r>
      <w:r w:rsidRPr="00994F7F">
        <w:rPr>
          <w:rFonts w:ascii="Luiss Sans" w:hAnsi="Luiss Sans"/>
          <w:b/>
          <w:bCs/>
          <w:sz w:val="28"/>
          <w:szCs w:val="28"/>
          <w:lang w:val="it-IT"/>
        </w:rPr>
        <w:t>Paola Severino, Presidente della Luiss School of Law,</w:t>
      </w:r>
      <w:r>
        <w:rPr>
          <w:rFonts w:ascii="Luiss Sans" w:hAnsi="Luiss Sans"/>
          <w:sz w:val="28"/>
          <w:szCs w:val="28"/>
          <w:lang w:val="it-IT"/>
        </w:rPr>
        <w:t xml:space="preserve"> che ha proseguito: “In un mondo in cui lo sviluppo tecnologico e l’intelligenza artificiale permeano sempre di più la nostra quotidianità, il tema della sostenibilità continua a rappresentare un punto fermo, una stella polare rispetto alla quale governi e policy-maker devono orientare l’evoluzione tecnologica stessa. In questo contesto, l’impegno profuso dalle nuove generazioni in tema di sostenibilità si riflette nel modello educativo della nostra Università, che si conferma centro accademico all’avanguardia nella combinazione fra scienze economiche, aspetti legali, profili sociologici e tutela dell’ambiente. Dal corso di laurea in “Strategic Management, Innovation and Sustainability” alla nuova cattedra in “AI &amp; Climate Change”, l’Ateneo si pone costantemente al centro delle grandi sfide del presente e del futuro”. </w:t>
      </w:r>
    </w:p>
    <w:p w14:paraId="0313232E" w14:textId="6673230F" w:rsidR="003D67C0" w:rsidRDefault="003D67C0" w:rsidP="00793EED">
      <w:pPr>
        <w:jc w:val="both"/>
        <w:rPr>
          <w:rFonts w:ascii="Luiss Sans" w:hAnsi="Luiss Sans"/>
          <w:sz w:val="28"/>
          <w:szCs w:val="28"/>
          <w:lang w:val="it-IT"/>
        </w:rPr>
      </w:pPr>
      <w:r>
        <w:rPr>
          <w:rFonts w:ascii="Luiss Sans" w:hAnsi="Luiss Sans"/>
          <w:sz w:val="28"/>
          <w:szCs w:val="28"/>
          <w:lang w:val="it-IT"/>
        </w:rPr>
        <w:t xml:space="preserve">“L’Italia ha fame di idee, di innovazione, di competenza, di nuove energie per affrontare la grande sfida della sostenibilità </w:t>
      </w:r>
      <w:r w:rsidR="00793EED">
        <w:rPr>
          <w:rFonts w:ascii="Luiss Sans" w:hAnsi="Luiss Sans"/>
          <w:sz w:val="28"/>
          <w:szCs w:val="28"/>
          <w:lang w:val="it-IT"/>
        </w:rPr>
        <w:t xml:space="preserve">in tutti i suoi aspetti. E questo apporto – dichiara </w:t>
      </w:r>
      <w:r w:rsidR="00793EED" w:rsidRPr="00994F7F">
        <w:rPr>
          <w:rFonts w:ascii="Luiss Sans" w:hAnsi="Luiss Sans"/>
          <w:b/>
          <w:bCs/>
          <w:sz w:val="28"/>
          <w:szCs w:val="28"/>
          <w:lang w:val="it-IT"/>
        </w:rPr>
        <w:t xml:space="preserve">Andrea Prete, Presidente Unioncamere </w:t>
      </w:r>
      <w:r w:rsidR="00793EED">
        <w:rPr>
          <w:rFonts w:ascii="Luiss Sans" w:hAnsi="Luiss Sans"/>
          <w:sz w:val="28"/>
          <w:szCs w:val="28"/>
          <w:lang w:val="it-IT"/>
        </w:rPr>
        <w:t xml:space="preserve">– può venire soprattutto dai giovani, dalle loro capacità di guardare avanti e dalla loro creatività. Il sistema camerale sostiene questa iniziativa nella consapevolezza che questi profili professionali altamente qualificati sono molto ricercati dalle imprese e possono contribuire ad accelerare la transizione green delle nostre aziende”. </w:t>
      </w:r>
    </w:p>
    <w:p w14:paraId="6A14D2D5" w14:textId="274A4D59" w:rsidR="00793EED" w:rsidRPr="00F72ABB" w:rsidRDefault="00793EED" w:rsidP="00793EED">
      <w:pPr>
        <w:jc w:val="both"/>
        <w:rPr>
          <w:rFonts w:ascii="Luiss Sans" w:hAnsi="Luiss Sans"/>
          <w:sz w:val="28"/>
          <w:szCs w:val="28"/>
          <w:lang w:val="it-IT"/>
        </w:rPr>
      </w:pPr>
      <w:r>
        <w:rPr>
          <w:rFonts w:ascii="Luiss Sans" w:hAnsi="Luiss Sans"/>
          <w:sz w:val="28"/>
          <w:szCs w:val="28"/>
          <w:lang w:val="it-IT"/>
        </w:rPr>
        <w:t xml:space="preserve">“La sfida della sostenibilità, e in particolare il contrasto al cambiamento climatico, è cruciale per il futuro dell’economia e della società. Per questo in Deloitte abbiamo costituito Deloitte Climate &amp; Sustainability, una società benefit che ha il compito esclusivo di elaborare risposte e servizi innovativi per accompagnare le imprese italiane ed europee nella transizione verso la sostenibilità”, dichiara </w:t>
      </w:r>
      <w:r w:rsidRPr="00994F7F">
        <w:rPr>
          <w:rFonts w:ascii="Luiss Sans" w:hAnsi="Luiss Sans"/>
          <w:b/>
          <w:bCs/>
          <w:sz w:val="28"/>
          <w:szCs w:val="28"/>
          <w:lang w:val="it-IT"/>
        </w:rPr>
        <w:t>Stefano Pareglio, Presidente di Deloitte Climate &amp; Sustainability.</w:t>
      </w:r>
      <w:r>
        <w:rPr>
          <w:rFonts w:ascii="Luiss Sans" w:hAnsi="Luiss Sans"/>
          <w:sz w:val="28"/>
          <w:szCs w:val="28"/>
          <w:lang w:val="it-IT"/>
        </w:rPr>
        <w:t xml:space="preserve"> “Fondamentale per noi è l’adozione di un approccio science-based, basato cioè sulle più avanzate evidenze scientifiche, ma adattato alle esigenze della singola impresa. Per questo abbiamo accettato con grande piacere l’invito a sostenere l’iniziativa ’10 tesi per la sostenibilità’: una maggiore conoscenza dei fenomeni naturali e sociali e una ricerca orientata alla policy, che faccia dialogare diversi ambiti del sapere, sono requisiti indispensabili per formare le competenze necessarie per affrontare le sfide che abbiamo di fronte”. </w:t>
      </w:r>
    </w:p>
    <w:sectPr w:rsidR="00793EED" w:rsidRPr="00F72ABB">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iss Sans">
    <w:panose1 w:val="00000000000000000000"/>
    <w:charset w:val="00"/>
    <w:family w:val="auto"/>
    <w:pitch w:val="variable"/>
    <w:sig w:usb0="800000AF" w:usb1="5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8C"/>
    <w:rsid w:val="00004D96"/>
    <w:rsid w:val="000A4ED7"/>
    <w:rsid w:val="00165FAC"/>
    <w:rsid w:val="003D67C0"/>
    <w:rsid w:val="0068358C"/>
    <w:rsid w:val="00793EED"/>
    <w:rsid w:val="008740D3"/>
    <w:rsid w:val="008D6535"/>
    <w:rsid w:val="009266B0"/>
    <w:rsid w:val="00994F7F"/>
    <w:rsid w:val="00C9202F"/>
    <w:rsid w:val="00F247BF"/>
    <w:rsid w:val="00F7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7819"/>
  <w15:chartTrackingRefBased/>
  <w15:docId w15:val="{4D0CA331-E201-4714-98B4-493B1076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5FAC"/>
    <w:rPr>
      <w:color w:val="0563C1" w:themeColor="hyperlink"/>
      <w:u w:val="single"/>
    </w:rPr>
  </w:style>
  <w:style w:type="character" w:styleId="Menzionenonrisolta">
    <w:name w:val="Unresolved Mention"/>
    <w:basedOn w:val="Carpredefinitoparagrafo"/>
    <w:uiPriority w:val="99"/>
    <w:semiHidden/>
    <w:unhideWhenUsed/>
    <w:rsid w:val="00165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Giusto</dc:creator>
  <cp:keywords/>
  <dc:description/>
  <cp:lastModifiedBy>Annalisa Pacini</cp:lastModifiedBy>
  <cp:revision>5</cp:revision>
  <dcterms:created xsi:type="dcterms:W3CDTF">2024-10-07T14:10:00Z</dcterms:created>
  <dcterms:modified xsi:type="dcterms:W3CDTF">2024-10-07T15:18:00Z</dcterms:modified>
</cp:coreProperties>
</file>