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7B9CB830" w14:textId="167FC7CA" w:rsidR="0045368A" w:rsidRDefault="006749C8" w:rsidP="00AB28DD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  <w:bookmarkStart w:id="0" w:name="_Hlk117605659"/>
      <w:bookmarkStart w:id="1" w:name="_Hlk128217566"/>
      <w:bookmarkStart w:id="2" w:name="_Hlk130895796"/>
      <w:bookmarkStart w:id="3" w:name="_Hlk147132295"/>
      <w:bookmarkStart w:id="4" w:name="_Hlk160008660"/>
      <w:r>
        <w:rPr>
          <w:b/>
          <w:bCs/>
          <w:color w:val="222222"/>
          <w:sz w:val="36"/>
          <w:szCs w:val="36"/>
          <w:shd w:val="clear" w:color="auto" w:fill="FFFFFF"/>
        </w:rPr>
        <w:t xml:space="preserve">Aumentano, a settembre, i prezzi </w:t>
      </w:r>
      <w:r w:rsidR="00587883">
        <w:rPr>
          <w:b/>
          <w:bCs/>
          <w:color w:val="222222"/>
          <w:sz w:val="36"/>
          <w:szCs w:val="36"/>
          <w:shd w:val="clear" w:color="auto" w:fill="FFFFFF"/>
        </w:rPr>
        <w:t xml:space="preserve">all’ingrosso di carne, formaggi, </w:t>
      </w:r>
      <w:r>
        <w:rPr>
          <w:b/>
          <w:bCs/>
          <w:color w:val="222222"/>
          <w:sz w:val="36"/>
          <w:szCs w:val="36"/>
          <w:shd w:val="clear" w:color="auto" w:fill="FFFFFF"/>
        </w:rPr>
        <w:t>frutta e verdura</w:t>
      </w:r>
    </w:p>
    <w:p w14:paraId="2215AB4D" w14:textId="7EC54563" w:rsidR="006749C8" w:rsidRDefault="006749C8" w:rsidP="00AB28DD">
      <w:pPr>
        <w:pStyle w:val="Default"/>
        <w:spacing w:after="120"/>
        <w:jc w:val="center"/>
        <w:rPr>
          <w:b/>
          <w:bCs/>
          <w:color w:val="222222"/>
          <w:sz w:val="36"/>
          <w:szCs w:val="36"/>
          <w:shd w:val="clear" w:color="auto" w:fill="FFFFFF"/>
        </w:rPr>
      </w:pPr>
    </w:p>
    <w:bookmarkEnd w:id="0"/>
    <w:bookmarkEnd w:id="1"/>
    <w:bookmarkEnd w:id="2"/>
    <w:bookmarkEnd w:id="3"/>
    <w:p w14:paraId="5CFD55B6" w14:textId="77777777" w:rsidR="00282D87" w:rsidRDefault="00282D87" w:rsidP="00E75288">
      <w:pPr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3B3F567C" w14:textId="52C7C2DD" w:rsidR="008C2B73" w:rsidRDefault="00AB28DD" w:rsidP="001D132A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Roma, </w:t>
      </w:r>
      <w:r w:rsidR="00EB56B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31 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>ottobre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2024 –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87883">
        <w:rPr>
          <w:rFonts w:ascii="Calibri" w:eastAsia="Calibri" w:hAnsi="Calibri" w:cs="Calibri"/>
          <w:bCs/>
          <w:sz w:val="22"/>
          <w:szCs w:val="22"/>
          <w:lang w:eastAsia="en-US"/>
        </w:rPr>
        <w:t>Diffusi segnali di rialzo a settembre per i prezzi all’ingrosso dei prodotti agroalimentari. L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>’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indi</w:t>
      </w:r>
      <w:r w:rsidR="008C2B73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ce dei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prezzi all’ingrosso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realizzato da 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Unioncamere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="00E75288" w:rsidRPr="00820566">
        <w:rPr>
          <w:rFonts w:ascii="Calibri" w:eastAsia="Calibri" w:hAnsi="Calibri" w:cs="Calibri"/>
          <w:b/>
          <w:sz w:val="22"/>
          <w:szCs w:val="22"/>
          <w:lang w:eastAsia="en-US"/>
        </w:rPr>
        <w:t>BMTI</w:t>
      </w:r>
      <w:r w:rsidR="00E75288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8C2B7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87883">
        <w:rPr>
          <w:rFonts w:ascii="Calibri" w:eastAsia="Calibri" w:hAnsi="Calibri" w:cs="Calibri"/>
          <w:bCs/>
          <w:sz w:val="22"/>
          <w:szCs w:val="22"/>
          <w:lang w:eastAsia="en-US"/>
        </w:rPr>
        <w:t>ha mostrato t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ra i prodotti freschi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rialzi mensili per frutta e ortaggi, per le carni di bovino e di pollame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per le uova. Nel comparto ittico, 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invece, sono rimasti sostanzialmente stabili i prezzi all’ingrosso, ad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eccezione dei crostacei freschi, trainati dai rincari di gamberi e scampi. Tra i prodotti lavorati, si è registrato un ulteriore rincaro per il burro e per i formaggi </w:t>
      </w:r>
      <w:r w:rsidR="00587883">
        <w:rPr>
          <w:rFonts w:ascii="Calibri" w:eastAsia="Calibri" w:hAnsi="Calibri" w:cs="Calibri"/>
          <w:bCs/>
          <w:sz w:val="22"/>
          <w:szCs w:val="22"/>
          <w:lang w:eastAsia="en-US"/>
        </w:rPr>
        <w:t>ed</w:t>
      </w:r>
      <w:r w:rsid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una sostanziale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stabilità per l’olio di oliva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gli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sfarinati di grano e riso.</w:t>
      </w:r>
    </w:p>
    <w:bookmarkEnd w:id="4"/>
    <w:p w14:paraId="487DE6EF" w14:textId="087414C7" w:rsidR="00265C13" w:rsidRDefault="00587883" w:rsidP="001D132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Nello specifico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>per quanto riguarda il settore ortofrutticolo,</w:t>
      </w:r>
      <w:r w:rsidR="00006FF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sono stati due i fattori che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hanno impresso aumenti ai prezzi</w:t>
      </w:r>
      <w:r w:rsidR="00006FF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Da un lato, 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>l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’abbassamento delle temperature registrato dopo la prima decade di settembre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ha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determinando una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>maggiore richiesta di prodotti autunnali</w:t>
      </w:r>
      <w:r w:rsid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006FFF">
        <w:rPr>
          <w:rFonts w:ascii="Calibri" w:eastAsia="Calibri" w:hAnsi="Calibri" w:cs="Calibri"/>
          <w:bCs/>
          <w:sz w:val="22"/>
          <w:szCs w:val="22"/>
          <w:lang w:eastAsia="en-US"/>
        </w:rPr>
        <w:t>Dall’altro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diverse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coltivazioni estive </w:t>
      </w:r>
      <w:r w:rsidR="00006FFF">
        <w:rPr>
          <w:rFonts w:ascii="Calibri" w:eastAsia="Calibri" w:hAnsi="Calibri" w:cs="Calibri"/>
          <w:bCs/>
          <w:sz w:val="22"/>
          <w:szCs w:val="22"/>
          <w:lang w:eastAsia="en-US"/>
        </w:rPr>
        <w:t>sono state colpite dal prolungato caldo estivo.</w:t>
      </w:r>
      <w:r w:rsidR="001D132A" w:rsidRPr="001D132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Tra i rincari maggiori, si registra un +20% per </w:t>
      </w:r>
      <w:r w:rsidR="00265C13" w:rsidRPr="00265C13">
        <w:rPr>
          <w:rFonts w:ascii="Calibri" w:eastAsia="Calibri" w:hAnsi="Calibri" w:cs="Calibri"/>
          <w:b/>
          <w:sz w:val="22"/>
          <w:szCs w:val="22"/>
          <w:lang w:eastAsia="en-US"/>
        </w:rPr>
        <w:t>pesche</w:t>
      </w:r>
      <w:r w:rsidR="00265C13" w:rsidRP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="00265C13" w:rsidRPr="00265C13">
        <w:rPr>
          <w:rFonts w:ascii="Calibri" w:eastAsia="Calibri" w:hAnsi="Calibri" w:cs="Calibri"/>
          <w:b/>
          <w:sz w:val="22"/>
          <w:szCs w:val="22"/>
          <w:lang w:eastAsia="en-US"/>
        </w:rPr>
        <w:t>nettarine</w:t>
      </w:r>
      <w:r w:rsidR="00265C13" w:rsidRP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>e un</w:t>
      </w:r>
      <w:r w:rsidR="00265C13" w:rsidRP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>+</w:t>
      </w:r>
      <w:r w:rsidR="00265C13" w:rsidRPr="00265C13">
        <w:rPr>
          <w:rFonts w:ascii="Calibri" w:eastAsia="Calibri" w:hAnsi="Calibri" w:cs="Calibri"/>
          <w:bCs/>
          <w:sz w:val="22"/>
          <w:szCs w:val="22"/>
          <w:lang w:eastAsia="en-US"/>
        </w:rPr>
        <w:t>11%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per le </w:t>
      </w:r>
      <w:r w:rsidR="00265C13" w:rsidRPr="00346470">
        <w:rPr>
          <w:rFonts w:ascii="Calibri" w:eastAsia="Calibri" w:hAnsi="Calibri" w:cs="Calibri"/>
          <w:b/>
          <w:sz w:val="22"/>
          <w:szCs w:val="22"/>
          <w:lang w:eastAsia="en-US"/>
        </w:rPr>
        <w:t>pere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con la comparsa delle </w:t>
      </w:r>
      <w:proofErr w:type="spellStart"/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>carietà</w:t>
      </w:r>
      <w:proofErr w:type="spellEnd"/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autunnali;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forte incremento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rispetto al mese precedente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per le zucchine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che crescono al contempo del </w:t>
      </w:r>
      <w:r w:rsidR="00265C13" w:rsidRP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+74,8% rispetto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allo scorso anno. Aumenti mensili consistenti anche per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le </w:t>
      </w:r>
      <w:r w:rsidR="00265C13" w:rsidRPr="00346470">
        <w:rPr>
          <w:rFonts w:ascii="Calibri" w:eastAsia="Calibri" w:hAnsi="Calibri" w:cs="Calibri"/>
          <w:b/>
          <w:sz w:val="22"/>
          <w:szCs w:val="22"/>
          <w:lang w:eastAsia="en-US"/>
        </w:rPr>
        <w:t>melanzane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(+65%)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e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per 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</w:t>
      </w:r>
      <w:r w:rsidR="00265C13" w:rsidRPr="00346470">
        <w:rPr>
          <w:rFonts w:ascii="Calibri" w:eastAsia="Calibri" w:hAnsi="Calibri" w:cs="Calibri"/>
          <w:b/>
          <w:sz w:val="22"/>
          <w:szCs w:val="22"/>
          <w:lang w:eastAsia="en-US"/>
        </w:rPr>
        <w:t>pomodori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da insalata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(+37%)</w:t>
      </w:r>
      <w:r w:rsidR="00265C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406955F1" w14:textId="612609AF" w:rsidR="008E75C6" w:rsidRDefault="00265C13" w:rsidP="001D132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Tra le carni, aumentano quelle di </w:t>
      </w:r>
      <w:r w:rsidRPr="00346470">
        <w:rPr>
          <w:rFonts w:ascii="Calibri" w:eastAsia="Calibri" w:hAnsi="Calibri" w:cs="Calibri"/>
          <w:b/>
          <w:sz w:val="22"/>
          <w:szCs w:val="22"/>
          <w:lang w:eastAsia="en-US"/>
        </w:rPr>
        <w:t>pollo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(+6,4% rispetto al mese precedente e +3,4% rispetto al 2023) e </w:t>
      </w:r>
      <w:r w:rsidRPr="00346470">
        <w:rPr>
          <w:rFonts w:ascii="Calibri" w:eastAsia="Calibri" w:hAnsi="Calibri" w:cs="Calibri"/>
          <w:b/>
          <w:sz w:val="22"/>
          <w:szCs w:val="22"/>
          <w:lang w:eastAsia="en-US"/>
        </w:rPr>
        <w:t>tacchino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(+5,2% rispetto a settembre e +12,3%</w:t>
      </w:r>
      <w:r w:rsid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rispetto ad un anno fa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A05E64" w:rsidRPr="00A05E64">
        <w:rPr>
          <w:rFonts w:ascii="Calibri" w:eastAsia="Calibri" w:hAnsi="Calibri" w:cs="Calibri"/>
          <w:bCs/>
          <w:sz w:val="22"/>
          <w:szCs w:val="22"/>
          <w:lang w:eastAsia="en-US"/>
        </w:rPr>
        <w:t>spinti da una domanda superiore alle disponibilità di prodotto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. Cresce anche la carne di</w:t>
      </w:r>
      <w:r w:rsid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864247" w:rsidRPr="00A05E64">
        <w:rPr>
          <w:rFonts w:ascii="Calibri" w:eastAsia="Calibri" w:hAnsi="Calibri" w:cs="Calibri"/>
          <w:b/>
          <w:sz w:val="22"/>
          <w:szCs w:val="22"/>
          <w:lang w:eastAsia="en-US"/>
        </w:rPr>
        <w:t>bovino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adulto</w:t>
      </w:r>
      <w:r w:rsid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 w:rsidR="00864247" w:rsidRPr="00864247">
        <w:rPr>
          <w:rFonts w:ascii="Calibri" w:eastAsia="Calibri" w:hAnsi="Calibri" w:cs="Calibri"/>
          <w:bCs/>
          <w:sz w:val="22"/>
          <w:szCs w:val="22"/>
          <w:lang w:eastAsia="en-US"/>
        </w:rPr>
        <w:t>+4,4% rispetto ad agosto</w:t>
      </w:r>
      <w:r w:rsidR="00864247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A05E64" w:rsidRP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Il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comparto</w:t>
      </w:r>
      <w:r w:rsidR="00A05E64" w:rsidRP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bovino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è alle prese con</w:t>
      </w:r>
      <w:r w:rsidR="00A05E64" w:rsidRP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una minore disponibilità di capi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da ristallo</w:t>
      </w:r>
      <w:r w:rsidR="00A05E64" w:rsidRPr="00A05E64">
        <w:rPr>
          <w:rFonts w:ascii="Calibri" w:eastAsia="Calibri" w:hAnsi="Calibri" w:cs="Calibri"/>
          <w:bCs/>
          <w:sz w:val="22"/>
          <w:szCs w:val="22"/>
          <w:lang w:eastAsia="en-US"/>
        </w:rPr>
        <w:t>, legata anche ai minori arrivi dalla Francia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, elemento che sta imprimendo tensioni al mercato. Tra i prodotti zootecnici, a</w:t>
      </w:r>
      <w:r w:rsid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umentano del 2,2%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rispetto al mese precedente i prezzi</w:t>
      </w:r>
      <w:r w:rsid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delle </w:t>
      </w:r>
      <w:r w:rsidR="00346470" w:rsidRPr="00346470">
        <w:rPr>
          <w:rFonts w:ascii="Calibri" w:eastAsia="Calibri" w:hAnsi="Calibri" w:cs="Calibri"/>
          <w:b/>
          <w:sz w:val="22"/>
          <w:szCs w:val="22"/>
          <w:lang w:eastAsia="en-US"/>
        </w:rPr>
        <w:t>uova</w:t>
      </w:r>
      <w:r w:rsid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allevate a terra, </w:t>
      </w:r>
      <w:r w:rsidR="00A05E64">
        <w:rPr>
          <w:rFonts w:ascii="Calibri" w:eastAsia="Calibri" w:hAnsi="Calibri" w:cs="Calibri"/>
          <w:bCs/>
          <w:sz w:val="22"/>
          <w:szCs w:val="22"/>
          <w:lang w:eastAsia="en-US"/>
        </w:rPr>
        <w:t>sostenuti da una domanda superiore al</w:t>
      </w:r>
      <w:r w:rsidR="00346470" w:rsidRPr="00346470">
        <w:rPr>
          <w:rFonts w:ascii="Calibri" w:eastAsia="Calibri" w:hAnsi="Calibri" w:cs="Calibri"/>
          <w:bCs/>
          <w:sz w:val="22"/>
          <w:szCs w:val="22"/>
          <w:lang w:eastAsia="en-US"/>
        </w:rPr>
        <w:t>l'offerta</w:t>
      </w:r>
      <w:r w:rsid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68EBC6BE" w14:textId="7AE66C63" w:rsidR="00346470" w:rsidRDefault="00346470" w:rsidP="001D132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Per quanto riguarda il settore ittico, </w:t>
      </w:r>
      <w:r w:rsidRP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 prezzi all’ingrosso non hanno mostrato variazioni mensili significative a settembre. </w:t>
      </w:r>
      <w:proofErr w:type="gramStart"/>
      <w:r w:rsidRPr="00346470">
        <w:rPr>
          <w:rFonts w:ascii="Calibri" w:eastAsia="Calibri" w:hAnsi="Calibri" w:cs="Calibri"/>
          <w:bCs/>
          <w:sz w:val="22"/>
          <w:szCs w:val="22"/>
          <w:lang w:eastAsia="en-US"/>
        </w:rPr>
        <w:t>Tuttavia</w:t>
      </w:r>
      <w:proofErr w:type="gramEnd"/>
      <w:r w:rsidRPr="0034647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 è osservata una crescita delle quotazioni delle specie catturate prevalentemente con le reti da traino, sistema bloccato o limitato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 molte marinerie a causa del </w:t>
      </w:r>
      <w:r w:rsidRPr="00346470">
        <w:rPr>
          <w:rFonts w:ascii="Calibri" w:eastAsia="Calibri" w:hAnsi="Calibri" w:cs="Calibri"/>
          <w:bCs/>
          <w:sz w:val="22"/>
          <w:szCs w:val="22"/>
          <w:lang w:eastAsia="en-US"/>
        </w:rPr>
        <w:t>fermo temporaneo di pesca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Tra questi, spiccano gli aumenti per </w:t>
      </w:r>
      <w:r w:rsidRPr="00A05E64">
        <w:rPr>
          <w:rFonts w:ascii="Calibri" w:eastAsia="Calibri" w:hAnsi="Calibri" w:cs="Calibri"/>
          <w:b/>
          <w:sz w:val="22"/>
          <w:szCs w:val="22"/>
          <w:lang w:eastAsia="en-US"/>
        </w:rPr>
        <w:t>gamberi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 </w:t>
      </w:r>
      <w:r w:rsidRPr="00A05E64">
        <w:rPr>
          <w:rFonts w:ascii="Calibri" w:eastAsia="Calibri" w:hAnsi="Calibri" w:cs="Calibri"/>
          <w:b/>
          <w:sz w:val="22"/>
          <w:szCs w:val="22"/>
          <w:lang w:eastAsia="en-US"/>
        </w:rPr>
        <w:t>scampi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rispettivamente di quasi il 56% e del 34,6%. Tali aumenti verosimilmente sono dovuti anche ad un</w:t>
      </w:r>
      <w:r w:rsidR="00FF0E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concomitante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aumento della richiesta. </w:t>
      </w:r>
    </w:p>
    <w:p w14:paraId="7FD174BC" w14:textId="4597DDD7" w:rsidR="002619B1" w:rsidRDefault="00A05E64" w:rsidP="002619B1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Tra le materie grasse derivate dal latte,</w:t>
      </w:r>
      <w:r w:rsid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 è registrato un ulteriore aumento del prezzo all’ingrosso del </w:t>
      </w:r>
      <w:r w:rsidRPr="00A05E64">
        <w:rPr>
          <w:rFonts w:ascii="Calibri" w:eastAsia="Calibri" w:hAnsi="Calibri" w:cs="Calibri"/>
          <w:b/>
          <w:sz w:val="22"/>
          <w:szCs w:val="22"/>
          <w:lang w:eastAsia="en-US"/>
        </w:rPr>
        <w:t>burro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(+15% su base mensile): i prezzi sono più che raddoppiati rispetto ad un anno fa. </w:t>
      </w:r>
      <w:r w:rsidR="00864247" w:rsidRP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Tali aumenti riflettono i forti rialzi dei prezzi osservati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nei</w:t>
      </w:r>
      <w:r w:rsidR="00864247" w:rsidRP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mercati chiave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europei,</w:t>
      </w:r>
      <w:r w:rsidR="00864247" w:rsidRP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Germania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in primis</w:t>
      </w:r>
      <w:r w:rsidR="00864247" w:rsidRPr="00864247">
        <w:rPr>
          <w:rFonts w:ascii="Calibri" w:eastAsia="Calibri" w:hAnsi="Calibri" w:cs="Calibri"/>
          <w:bCs/>
          <w:sz w:val="22"/>
          <w:szCs w:val="22"/>
          <w:lang w:eastAsia="en-US"/>
        </w:rPr>
        <w:t>, dove il burro ha raggiunto livelli record</w:t>
      </w:r>
      <w:r w:rsidR="0086424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 causa di una disponibilità limitata del prodotto a livello comunitario.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Aumenti </w:t>
      </w:r>
      <w:r w:rsidR="00D83B9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ulteriori a settembre anche per </w:t>
      </w:r>
      <w:r w:rsidR="002619B1"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>i f</w:t>
      </w:r>
      <w:r w:rsidR="002619B1" w:rsidRPr="00D83B9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ormaggi </w:t>
      </w:r>
      <w:r w:rsidR="002619B1"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>a lunga stagionatura (+</w:t>
      </w:r>
      <w:r w:rsidR="00D83B9F">
        <w:rPr>
          <w:rFonts w:ascii="Calibri" w:eastAsia="Calibri" w:hAnsi="Calibri" w:cs="Calibri"/>
          <w:bCs/>
          <w:sz w:val="22"/>
          <w:szCs w:val="22"/>
          <w:lang w:eastAsia="en-US"/>
        </w:rPr>
        <w:t>1,3</w:t>
      </w:r>
      <w:r w:rsidR="002619B1"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>% rispetto ad agosto)</w:t>
      </w:r>
      <w:r w:rsidR="00D83B9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Crescono anche i </w:t>
      </w:r>
      <w:r w:rsidR="002619B1"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formaggi a stagionatura media (+1,4%) e, in misura maggiore, i formaggi freschi e latticini (+2,9%). </w:t>
      </w:r>
    </w:p>
    <w:p w14:paraId="0FBFD218" w14:textId="3F801C72" w:rsidR="00864247" w:rsidRPr="001D132A" w:rsidRDefault="002619B1" w:rsidP="001D132A">
      <w:pPr>
        <w:pStyle w:val="Stile1"/>
        <w:spacing w:after="0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 xml:space="preserve">Infine, rimane stabile </w:t>
      </w:r>
      <w:r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>l'</w:t>
      </w:r>
      <w:r w:rsidRPr="00D83B9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olio d'oliva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(+0,1% rispetto ad agosto) </w:t>
      </w:r>
      <w:r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in attesa </w:t>
      </w:r>
      <w:r w:rsidR="00D83B9F">
        <w:rPr>
          <w:rFonts w:ascii="Calibri" w:eastAsia="Calibri" w:hAnsi="Calibri" w:cs="Calibri"/>
          <w:bCs/>
          <w:sz w:val="22"/>
          <w:szCs w:val="22"/>
          <w:lang w:eastAsia="en-US"/>
        </w:rPr>
        <w:t>delle quotazioni dei prodotti della nuova annata,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che, i</w:t>
      </w:r>
      <w:r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 Italia, si prevede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possa subire </w:t>
      </w:r>
      <w:r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una </w:t>
      </w:r>
      <w:r w:rsidR="0058788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significativa </w:t>
      </w:r>
      <w:r w:rsidRPr="002619B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contrazione rispetto alla </w:t>
      </w:r>
      <w:r w:rsidR="00D83B9F">
        <w:rPr>
          <w:rFonts w:ascii="Calibri" w:eastAsia="Calibri" w:hAnsi="Calibri" w:cs="Calibri"/>
          <w:bCs/>
          <w:sz w:val="22"/>
          <w:szCs w:val="22"/>
          <w:lang w:eastAsia="en-US"/>
        </w:rPr>
        <w:t>precedente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6749C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sectPr w:rsidR="00864247" w:rsidRPr="001D132A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D256" w14:textId="77777777" w:rsidR="00E24AF6" w:rsidRDefault="00E24AF6">
      <w:r>
        <w:separator/>
      </w:r>
    </w:p>
  </w:endnote>
  <w:endnote w:type="continuationSeparator" w:id="0">
    <w:p w14:paraId="56E16568" w14:textId="77777777" w:rsidR="00E24AF6" w:rsidRDefault="00E2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EB8F" w14:textId="77777777" w:rsidR="00E24AF6" w:rsidRDefault="00E24AF6">
      <w:r>
        <w:separator/>
      </w:r>
    </w:p>
  </w:footnote>
  <w:footnote w:type="continuationSeparator" w:id="0">
    <w:p w14:paraId="48DB0AD1" w14:textId="77777777" w:rsidR="00E24AF6" w:rsidRDefault="00E2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32A7E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9.5pt;height:49.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115F"/>
    <w:rsid w:val="0000117C"/>
    <w:rsid w:val="00006FFF"/>
    <w:rsid w:val="000072A3"/>
    <w:rsid w:val="00011FEE"/>
    <w:rsid w:val="0001626C"/>
    <w:rsid w:val="0002247B"/>
    <w:rsid w:val="00025BCB"/>
    <w:rsid w:val="00027F2E"/>
    <w:rsid w:val="000309DB"/>
    <w:rsid w:val="00030CC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1A8E"/>
    <w:rsid w:val="00062116"/>
    <w:rsid w:val="00065EAB"/>
    <w:rsid w:val="00066E10"/>
    <w:rsid w:val="00067432"/>
    <w:rsid w:val="0007352A"/>
    <w:rsid w:val="00073B4F"/>
    <w:rsid w:val="000742A4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810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132A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2794"/>
    <w:rsid w:val="00204651"/>
    <w:rsid w:val="002049DF"/>
    <w:rsid w:val="00204FD5"/>
    <w:rsid w:val="00210367"/>
    <w:rsid w:val="00211D1B"/>
    <w:rsid w:val="00212CA2"/>
    <w:rsid w:val="00213423"/>
    <w:rsid w:val="002146A4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19B1"/>
    <w:rsid w:val="00263A51"/>
    <w:rsid w:val="00264439"/>
    <w:rsid w:val="0026580C"/>
    <w:rsid w:val="00265C13"/>
    <w:rsid w:val="002664A3"/>
    <w:rsid w:val="00267440"/>
    <w:rsid w:val="0027205F"/>
    <w:rsid w:val="00272216"/>
    <w:rsid w:val="00281E9E"/>
    <w:rsid w:val="002826D4"/>
    <w:rsid w:val="00282D87"/>
    <w:rsid w:val="00283E30"/>
    <w:rsid w:val="002842EE"/>
    <w:rsid w:val="002848E2"/>
    <w:rsid w:val="00290559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46470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5F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0ACE"/>
    <w:rsid w:val="00446375"/>
    <w:rsid w:val="004510B3"/>
    <w:rsid w:val="0045368A"/>
    <w:rsid w:val="00453D90"/>
    <w:rsid w:val="00462B21"/>
    <w:rsid w:val="00467345"/>
    <w:rsid w:val="0047038B"/>
    <w:rsid w:val="00471A94"/>
    <w:rsid w:val="00471BF2"/>
    <w:rsid w:val="00475936"/>
    <w:rsid w:val="00475B6C"/>
    <w:rsid w:val="004764FA"/>
    <w:rsid w:val="00495EA8"/>
    <w:rsid w:val="004965EF"/>
    <w:rsid w:val="00497008"/>
    <w:rsid w:val="004A3390"/>
    <w:rsid w:val="004A4393"/>
    <w:rsid w:val="004A6843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2A2C"/>
    <w:rsid w:val="00524DBE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87883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1CEA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749C8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2DF7"/>
    <w:rsid w:val="006C3D08"/>
    <w:rsid w:val="006C4053"/>
    <w:rsid w:val="006C5714"/>
    <w:rsid w:val="006D1DDB"/>
    <w:rsid w:val="006D3554"/>
    <w:rsid w:val="006E2167"/>
    <w:rsid w:val="006E2DE2"/>
    <w:rsid w:val="006E33B4"/>
    <w:rsid w:val="006E54EE"/>
    <w:rsid w:val="006E6578"/>
    <w:rsid w:val="006F30B8"/>
    <w:rsid w:val="006F36E1"/>
    <w:rsid w:val="006F6B71"/>
    <w:rsid w:val="006F7E0E"/>
    <w:rsid w:val="0070168B"/>
    <w:rsid w:val="00702843"/>
    <w:rsid w:val="00702E5B"/>
    <w:rsid w:val="00703B56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44CFD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17BEB"/>
    <w:rsid w:val="00820566"/>
    <w:rsid w:val="00823440"/>
    <w:rsid w:val="00824480"/>
    <w:rsid w:val="00826849"/>
    <w:rsid w:val="00832013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299D"/>
    <w:rsid w:val="00864247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2B73"/>
    <w:rsid w:val="008C45D8"/>
    <w:rsid w:val="008C5430"/>
    <w:rsid w:val="008C5606"/>
    <w:rsid w:val="008D0AE8"/>
    <w:rsid w:val="008D2929"/>
    <w:rsid w:val="008D29BF"/>
    <w:rsid w:val="008D62F2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57A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370"/>
    <w:rsid w:val="009935BF"/>
    <w:rsid w:val="00993DBE"/>
    <w:rsid w:val="00997D99"/>
    <w:rsid w:val="009A1242"/>
    <w:rsid w:val="009A612E"/>
    <w:rsid w:val="009B29A8"/>
    <w:rsid w:val="009B3B0F"/>
    <w:rsid w:val="009C1E72"/>
    <w:rsid w:val="009C5693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5E64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2435"/>
    <w:rsid w:val="00A63ABE"/>
    <w:rsid w:val="00A67B02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D6C86"/>
    <w:rsid w:val="00BE224B"/>
    <w:rsid w:val="00BE7ED1"/>
    <w:rsid w:val="00BF0D54"/>
    <w:rsid w:val="00BF4FD0"/>
    <w:rsid w:val="00C00FD5"/>
    <w:rsid w:val="00C01C86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1121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B4F"/>
    <w:rsid w:val="00D56FF6"/>
    <w:rsid w:val="00D6251C"/>
    <w:rsid w:val="00D67A3C"/>
    <w:rsid w:val="00D7350E"/>
    <w:rsid w:val="00D74A15"/>
    <w:rsid w:val="00D8024E"/>
    <w:rsid w:val="00D838F2"/>
    <w:rsid w:val="00D83B9F"/>
    <w:rsid w:val="00D854C6"/>
    <w:rsid w:val="00D85E26"/>
    <w:rsid w:val="00D8691F"/>
    <w:rsid w:val="00D96A74"/>
    <w:rsid w:val="00DA3569"/>
    <w:rsid w:val="00DB6EBF"/>
    <w:rsid w:val="00DD0F68"/>
    <w:rsid w:val="00DD611D"/>
    <w:rsid w:val="00DE0F1C"/>
    <w:rsid w:val="00DE1B7D"/>
    <w:rsid w:val="00DE37A7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3182"/>
    <w:rsid w:val="00E1491F"/>
    <w:rsid w:val="00E17B1C"/>
    <w:rsid w:val="00E24AF6"/>
    <w:rsid w:val="00E24C31"/>
    <w:rsid w:val="00E33AEF"/>
    <w:rsid w:val="00E371D3"/>
    <w:rsid w:val="00E40377"/>
    <w:rsid w:val="00E40976"/>
    <w:rsid w:val="00E448FD"/>
    <w:rsid w:val="00E50532"/>
    <w:rsid w:val="00E506AB"/>
    <w:rsid w:val="00E52543"/>
    <w:rsid w:val="00E525B5"/>
    <w:rsid w:val="00E5371D"/>
    <w:rsid w:val="00E54A6A"/>
    <w:rsid w:val="00E55F72"/>
    <w:rsid w:val="00E579FE"/>
    <w:rsid w:val="00E659A9"/>
    <w:rsid w:val="00E706F6"/>
    <w:rsid w:val="00E75288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6B0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0EC7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3491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Alessandra Altina</cp:lastModifiedBy>
  <cp:revision>3</cp:revision>
  <cp:lastPrinted>2020-12-23T09:54:00Z</cp:lastPrinted>
  <dcterms:created xsi:type="dcterms:W3CDTF">2024-10-30T12:11:00Z</dcterms:created>
  <dcterms:modified xsi:type="dcterms:W3CDTF">2024-10-31T08:46:00Z</dcterms:modified>
</cp:coreProperties>
</file>