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2F26" w14:textId="788FAB33" w:rsidR="004957D4" w:rsidRDefault="003F6A43" w:rsidP="008E4CA5">
      <w:pPr>
        <w:jc w:val="center"/>
        <w:rPr>
          <w:b/>
          <w:bCs/>
          <w:sz w:val="28"/>
          <w:szCs w:val="28"/>
        </w:rPr>
      </w:pPr>
      <w:r w:rsidRPr="005E5E34">
        <w:rPr>
          <w:b/>
          <w:bCs/>
          <w:sz w:val="28"/>
          <w:szCs w:val="28"/>
        </w:rPr>
        <w:t>Comunicato stampa</w:t>
      </w:r>
    </w:p>
    <w:p w14:paraId="612DB5FD" w14:textId="77777777" w:rsidR="00C158C1" w:rsidRPr="005E5E34" w:rsidRDefault="00C158C1" w:rsidP="008E4CA5">
      <w:pPr>
        <w:jc w:val="center"/>
        <w:rPr>
          <w:b/>
          <w:bCs/>
          <w:sz w:val="28"/>
          <w:szCs w:val="28"/>
        </w:rPr>
      </w:pPr>
    </w:p>
    <w:p w14:paraId="785AC0C2" w14:textId="08361197" w:rsidR="00945E59" w:rsidRPr="00C158C1" w:rsidRDefault="0040081E" w:rsidP="00AE7831">
      <w:pPr>
        <w:jc w:val="center"/>
        <w:rPr>
          <w:sz w:val="28"/>
          <w:szCs w:val="28"/>
        </w:rPr>
      </w:pPr>
      <w:r w:rsidRPr="00C158C1">
        <w:rPr>
          <w:sz w:val="28"/>
          <w:szCs w:val="28"/>
        </w:rPr>
        <w:t xml:space="preserve">Al TTG Travel Experience </w:t>
      </w:r>
      <w:r w:rsidR="00945E59" w:rsidRPr="00C158C1">
        <w:rPr>
          <w:sz w:val="28"/>
          <w:szCs w:val="28"/>
        </w:rPr>
        <w:t xml:space="preserve">la verità sui dati del turismo secondo </w:t>
      </w:r>
      <w:r w:rsidR="003A3772" w:rsidRPr="00C158C1">
        <w:rPr>
          <w:sz w:val="28"/>
          <w:szCs w:val="28"/>
        </w:rPr>
        <w:t>ISNART</w:t>
      </w:r>
    </w:p>
    <w:p w14:paraId="01E1AC7B" w14:textId="7F78F1DE" w:rsidR="00945E59" w:rsidRDefault="007207FB" w:rsidP="00AE7831">
      <w:pPr>
        <w:jc w:val="center"/>
        <w:rPr>
          <w:b/>
          <w:bCs/>
          <w:sz w:val="28"/>
          <w:szCs w:val="28"/>
        </w:rPr>
      </w:pPr>
      <w:r>
        <w:rPr>
          <w:b/>
          <w:bCs/>
          <w:sz w:val="28"/>
          <w:szCs w:val="28"/>
        </w:rPr>
        <w:t>Dopo il “tutto esaurito” dell’estate, ottime le previsioni per il turismo in autunno</w:t>
      </w:r>
    </w:p>
    <w:p w14:paraId="312E7CDE" w14:textId="77777777" w:rsidR="00151AC4" w:rsidRDefault="00151AC4" w:rsidP="00C158C1">
      <w:pPr>
        <w:spacing w:after="0" w:line="240" w:lineRule="auto"/>
        <w:jc w:val="both"/>
        <w:rPr>
          <w:b/>
          <w:bCs/>
          <w:sz w:val="28"/>
          <w:szCs w:val="28"/>
        </w:rPr>
      </w:pPr>
    </w:p>
    <w:p w14:paraId="39E2B396" w14:textId="6F977D8F" w:rsidR="001D3631" w:rsidRPr="00C158C1" w:rsidRDefault="00AE7831" w:rsidP="00C158C1">
      <w:pPr>
        <w:spacing w:after="0" w:line="240" w:lineRule="auto"/>
        <w:jc w:val="both"/>
        <w:rPr>
          <w:sz w:val="24"/>
          <w:szCs w:val="24"/>
        </w:rPr>
      </w:pPr>
      <w:r w:rsidRPr="00C158C1">
        <w:rPr>
          <w:sz w:val="24"/>
          <w:szCs w:val="24"/>
        </w:rPr>
        <w:t xml:space="preserve">Rimini, </w:t>
      </w:r>
      <w:r w:rsidR="006F6169" w:rsidRPr="00C158C1">
        <w:rPr>
          <w:sz w:val="24"/>
          <w:szCs w:val="24"/>
        </w:rPr>
        <w:t>9</w:t>
      </w:r>
      <w:r w:rsidRPr="00C158C1">
        <w:rPr>
          <w:sz w:val="24"/>
          <w:szCs w:val="24"/>
        </w:rPr>
        <w:t xml:space="preserve"> ottobre 2024 </w:t>
      </w:r>
      <w:r w:rsidR="001D3631" w:rsidRPr="00C158C1">
        <w:rPr>
          <w:sz w:val="24"/>
          <w:szCs w:val="24"/>
        </w:rPr>
        <w:t xml:space="preserve">– Dopo una estate da “tutto esaurito”, anche per l’autunno le previsioni del comparto ricettivo appaiono ottime: </w:t>
      </w:r>
      <w:r w:rsidR="001D3631" w:rsidRPr="00C158C1">
        <w:rPr>
          <w:sz w:val="24"/>
          <w:szCs w:val="24"/>
        </w:rPr>
        <w:t xml:space="preserve">già vendute oltre la metà delle camere disponibili per il mese di ottobre (58%) ed il 45% per novembre e dicembre. Dati che trovano riscontro anche </w:t>
      </w:r>
      <w:r w:rsidR="00C158C1">
        <w:rPr>
          <w:sz w:val="24"/>
          <w:szCs w:val="24"/>
        </w:rPr>
        <w:t>nei</w:t>
      </w:r>
      <w:r w:rsidR="001D3631" w:rsidRPr="00C158C1">
        <w:rPr>
          <w:sz w:val="24"/>
          <w:szCs w:val="24"/>
        </w:rPr>
        <w:t xml:space="preserve"> </w:t>
      </w:r>
      <w:proofErr w:type="gramStart"/>
      <w:r w:rsidR="001D3631" w:rsidRPr="00C158C1">
        <w:rPr>
          <w:sz w:val="24"/>
          <w:szCs w:val="24"/>
        </w:rPr>
        <w:t>5</w:t>
      </w:r>
      <w:proofErr w:type="gramEnd"/>
      <w:r w:rsidR="001D3631" w:rsidRPr="00C158C1">
        <w:rPr>
          <w:sz w:val="24"/>
          <w:szCs w:val="24"/>
        </w:rPr>
        <w:t xml:space="preserve"> milioni di prenotazioni già registrate sul portale Airbnb per il trimestre ottobre-dicembre. </w:t>
      </w:r>
    </w:p>
    <w:p w14:paraId="49105C01" w14:textId="24246C85" w:rsidR="001D3631" w:rsidRPr="00C158C1" w:rsidRDefault="001D3631" w:rsidP="00C158C1">
      <w:pPr>
        <w:spacing w:after="0" w:line="240" w:lineRule="auto"/>
        <w:jc w:val="both"/>
        <w:rPr>
          <w:sz w:val="24"/>
          <w:szCs w:val="24"/>
        </w:rPr>
      </w:pPr>
      <w:r w:rsidRPr="00C158C1">
        <w:rPr>
          <w:sz w:val="24"/>
          <w:szCs w:val="24"/>
        </w:rPr>
        <w:t xml:space="preserve">L’andamento positivo della stagione estiva fa ben sperare gli operatori: </w:t>
      </w:r>
      <w:r w:rsidR="003C6AF9" w:rsidRPr="00C158C1">
        <w:rPr>
          <w:sz w:val="24"/>
          <w:szCs w:val="24"/>
        </w:rPr>
        <w:t>oltre la metà</w:t>
      </w:r>
      <w:r w:rsidRPr="00C158C1">
        <w:rPr>
          <w:sz w:val="24"/>
          <w:szCs w:val="24"/>
        </w:rPr>
        <w:t xml:space="preserve"> </w:t>
      </w:r>
      <w:r w:rsidR="003C6AF9" w:rsidRPr="00C158C1">
        <w:rPr>
          <w:sz w:val="24"/>
          <w:szCs w:val="24"/>
        </w:rPr>
        <w:t>(</w:t>
      </w:r>
      <w:r w:rsidRPr="00C158C1">
        <w:rPr>
          <w:sz w:val="24"/>
          <w:szCs w:val="24"/>
        </w:rPr>
        <w:t>50,9%</w:t>
      </w:r>
      <w:r w:rsidR="003C6AF9" w:rsidRPr="00C158C1">
        <w:rPr>
          <w:sz w:val="24"/>
          <w:szCs w:val="24"/>
        </w:rPr>
        <w:t>)</w:t>
      </w:r>
      <w:r w:rsidRPr="00C158C1">
        <w:rPr>
          <w:sz w:val="24"/>
          <w:szCs w:val="24"/>
        </w:rPr>
        <w:t xml:space="preserve"> prevede di chiudere il bilancio 2024 in pareggio. </w:t>
      </w:r>
    </w:p>
    <w:p w14:paraId="5EF7992F" w14:textId="377B2F5B" w:rsidR="00AE7831" w:rsidRPr="00C158C1" w:rsidRDefault="001D3631" w:rsidP="00C158C1">
      <w:pPr>
        <w:spacing w:after="0" w:line="240" w:lineRule="auto"/>
        <w:jc w:val="both"/>
        <w:rPr>
          <w:sz w:val="24"/>
          <w:szCs w:val="24"/>
        </w:rPr>
      </w:pPr>
      <w:r w:rsidRPr="00C158C1">
        <w:rPr>
          <w:sz w:val="24"/>
          <w:szCs w:val="24"/>
        </w:rPr>
        <w:t xml:space="preserve">A mostrarlo gli </w:t>
      </w:r>
      <w:r w:rsidRPr="00C158C1">
        <w:rPr>
          <w:sz w:val="24"/>
          <w:szCs w:val="24"/>
        </w:rPr>
        <w:t xml:space="preserve">ultimi dati dell’Osservatorio sull’Economia del Turismo delle Camere di commercio </w:t>
      </w:r>
      <w:r w:rsidRPr="00C158C1">
        <w:rPr>
          <w:sz w:val="24"/>
          <w:szCs w:val="24"/>
        </w:rPr>
        <w:t xml:space="preserve">di </w:t>
      </w:r>
      <w:r w:rsidRPr="00C158C1">
        <w:rPr>
          <w:b/>
          <w:bCs/>
          <w:sz w:val="24"/>
          <w:szCs w:val="24"/>
        </w:rPr>
        <w:t xml:space="preserve">Unioncamere </w:t>
      </w:r>
      <w:r w:rsidRPr="00C158C1">
        <w:rPr>
          <w:b/>
          <w:bCs/>
          <w:sz w:val="24"/>
          <w:szCs w:val="24"/>
        </w:rPr>
        <w:t>–</w:t>
      </w:r>
      <w:r w:rsidRPr="00C158C1">
        <w:rPr>
          <w:b/>
          <w:bCs/>
          <w:sz w:val="24"/>
          <w:szCs w:val="24"/>
        </w:rPr>
        <w:t xml:space="preserve"> </w:t>
      </w:r>
      <w:proofErr w:type="spellStart"/>
      <w:r w:rsidRPr="00C158C1">
        <w:rPr>
          <w:b/>
          <w:bCs/>
          <w:sz w:val="24"/>
          <w:szCs w:val="24"/>
        </w:rPr>
        <w:t>Isnart</w:t>
      </w:r>
      <w:proofErr w:type="spellEnd"/>
      <w:r w:rsidRPr="00C158C1">
        <w:rPr>
          <w:sz w:val="24"/>
          <w:szCs w:val="24"/>
        </w:rPr>
        <w:t>, nel corso di un convegno realizzato al TTG Trave</w:t>
      </w:r>
      <w:r w:rsidR="00C158C1" w:rsidRPr="00C158C1">
        <w:rPr>
          <w:sz w:val="24"/>
          <w:szCs w:val="24"/>
        </w:rPr>
        <w:t>l</w:t>
      </w:r>
      <w:r w:rsidRPr="00C158C1">
        <w:rPr>
          <w:sz w:val="24"/>
          <w:szCs w:val="24"/>
        </w:rPr>
        <w:t xml:space="preserve"> Experience di Rimini. </w:t>
      </w:r>
    </w:p>
    <w:p w14:paraId="3D01ED53" w14:textId="4FB0CE9C" w:rsidR="001D3631" w:rsidRPr="00C158C1" w:rsidRDefault="001D3631" w:rsidP="00C158C1">
      <w:pPr>
        <w:spacing w:after="0" w:line="240" w:lineRule="auto"/>
        <w:jc w:val="both"/>
        <w:rPr>
          <w:sz w:val="24"/>
          <w:szCs w:val="24"/>
        </w:rPr>
      </w:pPr>
      <w:r w:rsidRPr="00C158C1">
        <w:rPr>
          <w:sz w:val="24"/>
          <w:szCs w:val="24"/>
        </w:rPr>
        <w:t>Il caro prezzi</w:t>
      </w:r>
      <w:r w:rsidRPr="00C158C1">
        <w:rPr>
          <w:sz w:val="24"/>
          <w:szCs w:val="24"/>
        </w:rPr>
        <w:t>, però,</w:t>
      </w:r>
      <w:r w:rsidRPr="00C158C1">
        <w:rPr>
          <w:sz w:val="24"/>
          <w:szCs w:val="24"/>
        </w:rPr>
        <w:t xml:space="preserve"> continua a influenzare in modo decisivo le strategie di vendita delle imprese: per il solo mese di agosto si è registrato un aumento medio delle tariffe degli hotel del 16%, con una tariffa media di 183 euro per una camera doppia (fonte: Piattaforma </w:t>
      </w:r>
      <w:r w:rsidRPr="00C158C1">
        <w:rPr>
          <w:i/>
          <w:iCs/>
          <w:sz w:val="24"/>
          <w:szCs w:val="24"/>
        </w:rPr>
        <w:t>Stendhal</w:t>
      </w:r>
      <w:r w:rsidRPr="00C158C1">
        <w:rPr>
          <w:sz w:val="24"/>
          <w:szCs w:val="24"/>
        </w:rPr>
        <w:t xml:space="preserve"> del sistema camerale italiano).</w:t>
      </w:r>
    </w:p>
    <w:p w14:paraId="0DFA635F" w14:textId="3D929627" w:rsidR="001D3631" w:rsidRPr="00C158C1" w:rsidRDefault="001D3631" w:rsidP="00C158C1">
      <w:pPr>
        <w:spacing w:after="0" w:line="240" w:lineRule="auto"/>
        <w:jc w:val="both"/>
        <w:rPr>
          <w:sz w:val="24"/>
          <w:szCs w:val="24"/>
        </w:rPr>
      </w:pPr>
      <w:r w:rsidRPr="00C158C1">
        <w:rPr>
          <w:b/>
          <w:bCs/>
          <w:sz w:val="24"/>
          <w:szCs w:val="24"/>
        </w:rPr>
        <w:t>Le modalità di booking sono, come prevedibile, in larga parte legate ai portali di prenotazione on line</w:t>
      </w:r>
      <w:r w:rsidRPr="00C158C1">
        <w:rPr>
          <w:sz w:val="24"/>
          <w:szCs w:val="24"/>
        </w:rPr>
        <w:t xml:space="preserve">: il 76,2% delle strutture ricettive italiane punta sulle offerte pubblicate sugli OTA </w:t>
      </w:r>
      <w:r w:rsidRPr="00C158C1">
        <w:rPr>
          <w:sz w:val="24"/>
          <w:szCs w:val="24"/>
        </w:rPr>
        <w:t xml:space="preserve">(Online travel agency) </w:t>
      </w:r>
      <w:r w:rsidRPr="00C158C1">
        <w:rPr>
          <w:sz w:val="24"/>
          <w:szCs w:val="24"/>
        </w:rPr>
        <w:t>per incrementare le vendite; è passata da questi portali il 42% della clientela che ha prenotato per i mesi di ottobre-dicembre 2024.</w:t>
      </w:r>
    </w:p>
    <w:p w14:paraId="59C2DB4C" w14:textId="77777777" w:rsidR="001D3631" w:rsidRPr="00C158C1" w:rsidRDefault="001D3631" w:rsidP="00C158C1">
      <w:pPr>
        <w:spacing w:after="0" w:line="240" w:lineRule="auto"/>
        <w:jc w:val="both"/>
        <w:rPr>
          <w:sz w:val="24"/>
          <w:szCs w:val="24"/>
        </w:rPr>
      </w:pPr>
      <w:r w:rsidRPr="00C158C1">
        <w:rPr>
          <w:sz w:val="24"/>
          <w:szCs w:val="24"/>
        </w:rPr>
        <w:t>Tuttavia, i</w:t>
      </w:r>
      <w:r w:rsidRPr="00C158C1">
        <w:rPr>
          <w:b/>
          <w:bCs/>
          <w:sz w:val="24"/>
          <w:szCs w:val="24"/>
        </w:rPr>
        <w:t>l rapporto diretto tra cliente ed esercente della struttura continua ad essere decisivo per 3 clienti su 10</w:t>
      </w:r>
      <w:r w:rsidRPr="00C158C1">
        <w:rPr>
          <w:sz w:val="24"/>
          <w:szCs w:val="24"/>
        </w:rPr>
        <w:t xml:space="preserve">. Il rapporto </w:t>
      </w:r>
      <w:r w:rsidRPr="00C158C1">
        <w:rPr>
          <w:i/>
          <w:iCs/>
          <w:sz w:val="24"/>
          <w:szCs w:val="24"/>
        </w:rPr>
        <w:t>one to one</w:t>
      </w:r>
      <w:r w:rsidRPr="00C158C1">
        <w:rPr>
          <w:sz w:val="24"/>
          <w:szCs w:val="24"/>
        </w:rPr>
        <w:t xml:space="preserve"> è, quindi, un elemento strategico per il sistema ricettivo ufficiale: la professionalità degli operatori e la qualità del servizio offerto, sono decisivi per restituire al turista un’immagine positiva della destinazione ospitante.</w:t>
      </w:r>
    </w:p>
    <w:p w14:paraId="2363DDC2" w14:textId="41744461" w:rsidR="001D3631" w:rsidRPr="00C158C1" w:rsidRDefault="001D3631" w:rsidP="00C158C1">
      <w:pPr>
        <w:spacing w:after="0" w:line="240" w:lineRule="auto"/>
        <w:jc w:val="both"/>
        <w:rPr>
          <w:sz w:val="24"/>
          <w:szCs w:val="24"/>
        </w:rPr>
      </w:pPr>
      <w:r w:rsidRPr="00C158C1">
        <w:rPr>
          <w:sz w:val="24"/>
          <w:szCs w:val="24"/>
        </w:rPr>
        <w:t>Le strutture che puntano su un’offerta diversificata tramite servizi accessori di qualità (prodotti e servizi di turismo esper</w:t>
      </w:r>
      <w:r w:rsidRPr="00C158C1">
        <w:rPr>
          <w:sz w:val="24"/>
          <w:szCs w:val="24"/>
        </w:rPr>
        <w:t>i</w:t>
      </w:r>
      <w:r w:rsidRPr="00C158C1">
        <w:rPr>
          <w:sz w:val="24"/>
          <w:szCs w:val="24"/>
        </w:rPr>
        <w:t>enziale legato alle eccellenze del territorio, servizi di animazione ed intrattenimento per i bambini ed altre facilities per le famiglie, transfer da/per aeroporti o stazioni, servizi di noleggio, ricarica e manutenzione delle biciclette ecc.) presentano certamente un vantaggio competitivo rispetto alle dinamiche di mercato.</w:t>
      </w:r>
    </w:p>
    <w:p w14:paraId="3D377600" w14:textId="77777777" w:rsidR="001D3631" w:rsidRPr="00C158C1" w:rsidRDefault="001D3631" w:rsidP="00C158C1">
      <w:pPr>
        <w:spacing w:after="0" w:line="240" w:lineRule="auto"/>
        <w:jc w:val="both"/>
        <w:rPr>
          <w:sz w:val="24"/>
          <w:szCs w:val="24"/>
        </w:rPr>
      </w:pPr>
    </w:p>
    <w:p w14:paraId="1B41A69E" w14:textId="08C6F760" w:rsidR="001D3631" w:rsidRPr="00C158C1" w:rsidRDefault="007207FB" w:rsidP="00C158C1">
      <w:pPr>
        <w:spacing w:after="0" w:line="240" w:lineRule="auto"/>
        <w:jc w:val="both"/>
        <w:rPr>
          <w:sz w:val="24"/>
          <w:szCs w:val="24"/>
        </w:rPr>
      </w:pPr>
      <w:r w:rsidRPr="00C158C1">
        <w:rPr>
          <w:sz w:val="24"/>
          <w:szCs w:val="24"/>
        </w:rPr>
        <w:t xml:space="preserve">Proprio sul tema della lettura dei dati di settore si è concentrato il convegno realizzato da </w:t>
      </w:r>
      <w:proofErr w:type="spellStart"/>
      <w:r w:rsidRPr="00C158C1">
        <w:rPr>
          <w:sz w:val="24"/>
          <w:szCs w:val="24"/>
        </w:rPr>
        <w:t>Isnart</w:t>
      </w:r>
      <w:proofErr w:type="spellEnd"/>
      <w:r w:rsidRPr="00C158C1">
        <w:rPr>
          <w:sz w:val="24"/>
          <w:szCs w:val="24"/>
        </w:rPr>
        <w:t xml:space="preserve">. Secondo </w:t>
      </w:r>
      <w:r w:rsidR="001D3631" w:rsidRPr="00C158C1">
        <w:rPr>
          <w:sz w:val="24"/>
          <w:szCs w:val="24"/>
        </w:rPr>
        <w:t>la Presidente</w:t>
      </w:r>
      <w:r w:rsidRPr="00C158C1">
        <w:rPr>
          <w:sz w:val="24"/>
          <w:szCs w:val="24"/>
        </w:rPr>
        <w:t xml:space="preserve">, </w:t>
      </w:r>
      <w:r w:rsidR="001D3631" w:rsidRPr="00C158C1">
        <w:rPr>
          <w:b/>
          <w:bCs/>
          <w:sz w:val="24"/>
          <w:szCs w:val="24"/>
        </w:rPr>
        <w:t>Loretta Credaro</w:t>
      </w:r>
      <w:r w:rsidRPr="00C158C1">
        <w:rPr>
          <w:sz w:val="24"/>
          <w:szCs w:val="24"/>
        </w:rPr>
        <w:t xml:space="preserve">: </w:t>
      </w:r>
      <w:r w:rsidR="001D3631" w:rsidRPr="00C158C1">
        <w:rPr>
          <w:sz w:val="24"/>
          <w:szCs w:val="24"/>
        </w:rPr>
        <w:t>“</w:t>
      </w:r>
      <w:r w:rsidR="001D3631" w:rsidRPr="00C158C1">
        <w:rPr>
          <w:i/>
          <w:iCs/>
          <w:sz w:val="24"/>
          <w:szCs w:val="24"/>
        </w:rPr>
        <w:t>La verità</w:t>
      </w:r>
      <w:r w:rsidRPr="00C158C1">
        <w:rPr>
          <w:i/>
          <w:iCs/>
          <w:sz w:val="24"/>
          <w:szCs w:val="24"/>
        </w:rPr>
        <w:t xml:space="preserve"> </w:t>
      </w:r>
      <w:r w:rsidR="001D3631" w:rsidRPr="00C158C1">
        <w:rPr>
          <w:i/>
          <w:iCs/>
          <w:sz w:val="24"/>
          <w:szCs w:val="24"/>
        </w:rPr>
        <w:t>è che Il dato non è né brutto né bello, e come tale va assolto</w:t>
      </w:r>
      <w:r w:rsidR="001D3631" w:rsidRPr="00C158C1">
        <w:rPr>
          <w:sz w:val="24"/>
          <w:szCs w:val="24"/>
        </w:rPr>
        <w:t xml:space="preserve">. </w:t>
      </w:r>
      <w:r w:rsidR="001D3631" w:rsidRPr="00C158C1">
        <w:rPr>
          <w:i/>
          <w:iCs/>
          <w:sz w:val="24"/>
          <w:szCs w:val="24"/>
        </w:rPr>
        <w:t>Il dato, senza le competenze adatte alla sua corretta lettura e analisi, rischia di generare allucinazioni. È per questo motivo che riteniamo indispensabile ed urgente che il sistema della formazione, nei suoi diversi livelli, investa nella cultura dei dati, formando figure professionali ad hoc, visto che, tanto nelle aziende private quanto nelle Pubbliche Amministrazioni, l’innovazione viaggia sulle gambe (e nelle teste) delle persone</w:t>
      </w:r>
      <w:r w:rsidR="001D3631" w:rsidRPr="00C158C1">
        <w:rPr>
          <w:sz w:val="24"/>
          <w:szCs w:val="24"/>
        </w:rPr>
        <w:t xml:space="preserve">”. </w:t>
      </w:r>
    </w:p>
    <w:p w14:paraId="418CA44E" w14:textId="77777777" w:rsidR="001D3631" w:rsidRPr="00C158C1" w:rsidRDefault="001D3631" w:rsidP="00C158C1">
      <w:pPr>
        <w:spacing w:after="0" w:line="240" w:lineRule="auto"/>
        <w:jc w:val="both"/>
        <w:rPr>
          <w:sz w:val="24"/>
          <w:szCs w:val="24"/>
        </w:rPr>
      </w:pPr>
    </w:p>
    <w:p w14:paraId="3492FC96" w14:textId="6ECD0E98" w:rsidR="0048309B" w:rsidRPr="00C158C1" w:rsidRDefault="0048309B" w:rsidP="00C158C1">
      <w:pPr>
        <w:spacing w:after="0" w:line="240" w:lineRule="auto"/>
        <w:jc w:val="both"/>
        <w:rPr>
          <w:sz w:val="24"/>
          <w:szCs w:val="24"/>
        </w:rPr>
      </w:pPr>
      <w:r w:rsidRPr="00C158C1">
        <w:rPr>
          <w:b/>
          <w:bCs/>
          <w:sz w:val="24"/>
          <w:szCs w:val="24"/>
        </w:rPr>
        <w:t>Ottimo il bilancio dell’estate 2024</w:t>
      </w:r>
    </w:p>
    <w:p w14:paraId="05F0D4CC" w14:textId="329981CE" w:rsidR="0048309B" w:rsidRPr="00C158C1" w:rsidRDefault="007207FB" w:rsidP="00C158C1">
      <w:pPr>
        <w:spacing w:after="0" w:line="240" w:lineRule="auto"/>
        <w:jc w:val="both"/>
        <w:rPr>
          <w:sz w:val="24"/>
          <w:szCs w:val="24"/>
        </w:rPr>
      </w:pPr>
      <w:r w:rsidRPr="00C158C1">
        <w:rPr>
          <w:sz w:val="24"/>
          <w:szCs w:val="24"/>
        </w:rPr>
        <w:t xml:space="preserve">Il bilancio dell’estate 2024 </w:t>
      </w:r>
      <w:r w:rsidR="00A21BD6" w:rsidRPr="00C158C1">
        <w:rPr>
          <w:sz w:val="24"/>
          <w:szCs w:val="24"/>
        </w:rPr>
        <w:t xml:space="preserve">dell’Osservatorio sull’Economia del Turismo delle Camere di commercio (Unioncamere - </w:t>
      </w:r>
      <w:proofErr w:type="spellStart"/>
      <w:r w:rsidR="00A21BD6" w:rsidRPr="00C158C1">
        <w:rPr>
          <w:sz w:val="24"/>
          <w:szCs w:val="24"/>
        </w:rPr>
        <w:t>Isnart</w:t>
      </w:r>
      <w:proofErr w:type="spellEnd"/>
      <w:r w:rsidR="00A21BD6" w:rsidRPr="00C158C1">
        <w:rPr>
          <w:sz w:val="24"/>
          <w:szCs w:val="24"/>
        </w:rPr>
        <w:t>)</w:t>
      </w:r>
      <w:r w:rsidRPr="00C158C1">
        <w:rPr>
          <w:sz w:val="24"/>
          <w:szCs w:val="24"/>
        </w:rPr>
        <w:t xml:space="preserve"> mostra</w:t>
      </w:r>
      <w:r w:rsidR="00A21BD6" w:rsidRPr="00C158C1">
        <w:rPr>
          <w:sz w:val="24"/>
          <w:szCs w:val="24"/>
        </w:rPr>
        <w:t xml:space="preserve"> un andamento più che positivo, </w:t>
      </w:r>
      <w:r w:rsidR="0048309B" w:rsidRPr="00C158C1">
        <w:rPr>
          <w:sz w:val="24"/>
          <w:szCs w:val="24"/>
        </w:rPr>
        <w:t xml:space="preserve">che ha visto complessivamente a luglio vendute in media l’86% delle camere disponibili tra hotel e strutture extralberghiere (+10,2 punti percentuali rispetto al 2023), il 90,8% </w:t>
      </w:r>
      <w:r w:rsidR="006F336D" w:rsidRPr="00C158C1">
        <w:rPr>
          <w:sz w:val="24"/>
          <w:szCs w:val="24"/>
        </w:rPr>
        <w:t xml:space="preserve">in agosto </w:t>
      </w:r>
      <w:r w:rsidR="0048309B" w:rsidRPr="00C158C1">
        <w:rPr>
          <w:sz w:val="24"/>
          <w:szCs w:val="24"/>
        </w:rPr>
        <w:t xml:space="preserve">(+5,9 p.p.) e il 73% </w:t>
      </w:r>
      <w:r w:rsidR="006F336D" w:rsidRPr="00C158C1">
        <w:rPr>
          <w:sz w:val="24"/>
          <w:szCs w:val="24"/>
        </w:rPr>
        <w:t xml:space="preserve">in </w:t>
      </w:r>
      <w:r w:rsidR="0048309B" w:rsidRPr="00C158C1">
        <w:rPr>
          <w:sz w:val="24"/>
          <w:szCs w:val="24"/>
        </w:rPr>
        <w:t xml:space="preserve">settembre (+ 13 p.p.). </w:t>
      </w:r>
    </w:p>
    <w:p w14:paraId="03205979" w14:textId="5D303CAF" w:rsidR="0048309B" w:rsidRPr="00C158C1" w:rsidRDefault="0048309B" w:rsidP="00C158C1">
      <w:pPr>
        <w:spacing w:after="0" w:line="240" w:lineRule="auto"/>
        <w:jc w:val="both"/>
        <w:rPr>
          <w:sz w:val="24"/>
          <w:szCs w:val="24"/>
        </w:rPr>
      </w:pPr>
      <w:r w:rsidRPr="00C158C1">
        <w:rPr>
          <w:sz w:val="24"/>
          <w:szCs w:val="24"/>
        </w:rPr>
        <w:lastRenderedPageBreak/>
        <w:t>A trainare il settore sono le strutture delle località di mare che in agosto hanno sfiorato il tutto esaurito (94,2% di camere occupate)</w:t>
      </w:r>
      <w:r w:rsidR="006F336D" w:rsidRPr="00C158C1">
        <w:rPr>
          <w:sz w:val="24"/>
          <w:szCs w:val="24"/>
        </w:rPr>
        <w:t>; ma sono ottime anche le performance</w:t>
      </w:r>
      <w:r w:rsidRPr="00C158C1">
        <w:rPr>
          <w:sz w:val="24"/>
          <w:szCs w:val="24"/>
        </w:rPr>
        <w:t xml:space="preserve"> </w:t>
      </w:r>
      <w:r w:rsidR="0076202C" w:rsidRPr="00C158C1">
        <w:rPr>
          <w:sz w:val="24"/>
          <w:szCs w:val="24"/>
        </w:rPr>
        <w:t xml:space="preserve">fatte registrare </w:t>
      </w:r>
      <w:r w:rsidRPr="00C158C1">
        <w:rPr>
          <w:sz w:val="24"/>
          <w:szCs w:val="24"/>
        </w:rPr>
        <w:t>da</w:t>
      </w:r>
      <w:r w:rsidR="0076202C" w:rsidRPr="00C158C1">
        <w:rPr>
          <w:sz w:val="24"/>
          <w:szCs w:val="24"/>
        </w:rPr>
        <w:t xml:space="preserve">lle strutture </w:t>
      </w:r>
      <w:r w:rsidR="006F336D" w:rsidRPr="00C158C1">
        <w:rPr>
          <w:sz w:val="24"/>
          <w:szCs w:val="24"/>
        </w:rPr>
        <w:t>sui</w:t>
      </w:r>
      <w:r w:rsidRPr="00C158C1">
        <w:rPr>
          <w:sz w:val="24"/>
          <w:szCs w:val="24"/>
        </w:rPr>
        <w:t xml:space="preserve"> lag</w:t>
      </w:r>
      <w:r w:rsidR="006F336D" w:rsidRPr="00C158C1">
        <w:rPr>
          <w:sz w:val="24"/>
          <w:szCs w:val="24"/>
        </w:rPr>
        <w:t>hi</w:t>
      </w:r>
      <w:r w:rsidR="0076202C" w:rsidRPr="00C158C1">
        <w:rPr>
          <w:sz w:val="24"/>
          <w:szCs w:val="24"/>
        </w:rPr>
        <w:t xml:space="preserve"> (</w:t>
      </w:r>
      <w:r w:rsidR="00BD4F7E" w:rsidRPr="00C158C1">
        <w:rPr>
          <w:sz w:val="24"/>
          <w:szCs w:val="24"/>
        </w:rPr>
        <w:t>90% a luglio e agosto</w:t>
      </w:r>
      <w:r w:rsidR="0076202C" w:rsidRPr="00C158C1">
        <w:rPr>
          <w:sz w:val="24"/>
          <w:szCs w:val="24"/>
        </w:rPr>
        <w:t>)</w:t>
      </w:r>
      <w:r w:rsidR="006F336D" w:rsidRPr="00C158C1">
        <w:rPr>
          <w:sz w:val="24"/>
          <w:szCs w:val="24"/>
        </w:rPr>
        <w:t xml:space="preserve"> e nelle </w:t>
      </w:r>
      <w:r w:rsidRPr="00C158C1">
        <w:rPr>
          <w:sz w:val="24"/>
          <w:szCs w:val="24"/>
        </w:rPr>
        <w:t xml:space="preserve">grandi città d’arte (88,2% agosto). </w:t>
      </w:r>
    </w:p>
    <w:p w14:paraId="17B316FC" w14:textId="3F0E6A60" w:rsidR="003B70E0" w:rsidRPr="00C158C1" w:rsidRDefault="0048309B" w:rsidP="00C158C1">
      <w:pPr>
        <w:spacing w:after="0" w:line="240" w:lineRule="auto"/>
        <w:jc w:val="both"/>
        <w:rPr>
          <w:sz w:val="24"/>
          <w:szCs w:val="24"/>
        </w:rPr>
      </w:pPr>
      <w:r w:rsidRPr="00C158C1">
        <w:rPr>
          <w:sz w:val="24"/>
          <w:szCs w:val="24"/>
        </w:rPr>
        <w:t>Considerando i soli mesi estivi</w:t>
      </w:r>
      <w:r w:rsidR="0076202C" w:rsidRPr="00C158C1">
        <w:rPr>
          <w:sz w:val="24"/>
          <w:szCs w:val="24"/>
        </w:rPr>
        <w:t xml:space="preserve">, </w:t>
      </w:r>
      <w:r w:rsidRPr="00C158C1">
        <w:rPr>
          <w:sz w:val="24"/>
          <w:szCs w:val="24"/>
        </w:rPr>
        <w:t xml:space="preserve">in Italia si sono registrati </w:t>
      </w:r>
      <w:r w:rsidRPr="00C158C1">
        <w:rPr>
          <w:b/>
          <w:bCs/>
          <w:sz w:val="24"/>
          <w:szCs w:val="24"/>
        </w:rPr>
        <w:t>32 milioni di turisti</w:t>
      </w:r>
      <w:r w:rsidRPr="00C158C1">
        <w:rPr>
          <w:sz w:val="24"/>
          <w:szCs w:val="24"/>
        </w:rPr>
        <w:t xml:space="preserve"> (distribuiti tra strutture ricettive, </w:t>
      </w:r>
      <w:r w:rsidR="0076202C" w:rsidRPr="00C158C1">
        <w:rPr>
          <w:sz w:val="24"/>
          <w:szCs w:val="24"/>
        </w:rPr>
        <w:t xml:space="preserve">affitto in </w:t>
      </w:r>
      <w:r w:rsidRPr="00C158C1">
        <w:rPr>
          <w:sz w:val="24"/>
          <w:szCs w:val="24"/>
        </w:rPr>
        <w:t xml:space="preserve">abitazioni </w:t>
      </w:r>
      <w:r w:rsidR="0076202C" w:rsidRPr="00C158C1">
        <w:rPr>
          <w:sz w:val="24"/>
          <w:szCs w:val="24"/>
        </w:rPr>
        <w:t>private</w:t>
      </w:r>
      <w:r w:rsidRPr="00C158C1">
        <w:rPr>
          <w:sz w:val="24"/>
          <w:szCs w:val="24"/>
        </w:rPr>
        <w:t xml:space="preserve"> e ospitalità di amici e parenti)</w:t>
      </w:r>
      <w:r w:rsidR="003B70E0" w:rsidRPr="00C158C1">
        <w:rPr>
          <w:sz w:val="24"/>
          <w:szCs w:val="24"/>
        </w:rPr>
        <w:t>,</w:t>
      </w:r>
      <w:r w:rsidRPr="00C158C1">
        <w:rPr>
          <w:sz w:val="24"/>
          <w:szCs w:val="24"/>
        </w:rPr>
        <w:t xml:space="preserve"> con una forte incidenza dei flussi internazionali (54%) (stima Unioncamere ISNART utilizzando dati di </w:t>
      </w:r>
      <w:r w:rsidRPr="00C158C1">
        <w:rPr>
          <w:i/>
          <w:iCs/>
          <w:sz w:val="24"/>
          <w:szCs w:val="24"/>
        </w:rPr>
        <w:t>Location Intelligence</w:t>
      </w:r>
      <w:r w:rsidRPr="00C158C1">
        <w:rPr>
          <w:sz w:val="24"/>
          <w:szCs w:val="24"/>
        </w:rPr>
        <w:t xml:space="preserve"> </w:t>
      </w:r>
      <w:r w:rsidRPr="00C158C1">
        <w:rPr>
          <w:rStyle w:val="Rimandonotaapidipagina"/>
          <w:sz w:val="24"/>
          <w:szCs w:val="24"/>
        </w:rPr>
        <w:footnoteReference w:id="1"/>
      </w:r>
      <w:r w:rsidRPr="00C158C1">
        <w:rPr>
          <w:sz w:val="24"/>
          <w:szCs w:val="24"/>
        </w:rPr>
        <w:t>)</w:t>
      </w:r>
      <w:r w:rsidR="003B70E0" w:rsidRPr="00C158C1">
        <w:rPr>
          <w:sz w:val="24"/>
          <w:szCs w:val="24"/>
        </w:rPr>
        <w:t xml:space="preserve">, </w:t>
      </w:r>
      <w:r w:rsidRPr="00C158C1">
        <w:rPr>
          <w:sz w:val="24"/>
          <w:szCs w:val="24"/>
        </w:rPr>
        <w:t xml:space="preserve">per i quali si registra una crescita del +2% sull’estate 2023. </w:t>
      </w:r>
    </w:p>
    <w:p w14:paraId="47BBC278" w14:textId="6D5F429B" w:rsidR="0048309B" w:rsidRPr="00C158C1" w:rsidRDefault="0048309B" w:rsidP="00C158C1">
      <w:pPr>
        <w:spacing w:after="0" w:line="240" w:lineRule="auto"/>
        <w:jc w:val="both"/>
        <w:rPr>
          <w:sz w:val="24"/>
          <w:szCs w:val="24"/>
        </w:rPr>
      </w:pPr>
      <w:proofErr w:type="gramStart"/>
      <w:r w:rsidRPr="00C158C1">
        <w:rPr>
          <w:sz w:val="24"/>
          <w:szCs w:val="24"/>
        </w:rPr>
        <w:t>Un trend</w:t>
      </w:r>
      <w:proofErr w:type="gramEnd"/>
      <w:r w:rsidRPr="00C158C1">
        <w:rPr>
          <w:sz w:val="24"/>
          <w:szCs w:val="24"/>
        </w:rPr>
        <w:t xml:space="preserve"> che conferma il consolidamento della domanda internazionale già emerso dai dati ISTAT </w:t>
      </w:r>
      <w:r w:rsidR="0076202C" w:rsidRPr="00C158C1">
        <w:rPr>
          <w:sz w:val="24"/>
          <w:szCs w:val="24"/>
        </w:rPr>
        <w:t xml:space="preserve">relativi al </w:t>
      </w:r>
      <w:r w:rsidRPr="00C158C1">
        <w:rPr>
          <w:sz w:val="24"/>
          <w:szCs w:val="24"/>
        </w:rPr>
        <w:t xml:space="preserve">2023 che, per le sole strutture ricettive, </w:t>
      </w:r>
      <w:r w:rsidR="003B70E0" w:rsidRPr="00C158C1">
        <w:rPr>
          <w:sz w:val="24"/>
          <w:szCs w:val="24"/>
        </w:rPr>
        <w:t>avevano</w:t>
      </w:r>
      <w:r w:rsidRPr="00C158C1">
        <w:rPr>
          <w:sz w:val="24"/>
          <w:szCs w:val="24"/>
        </w:rPr>
        <w:t xml:space="preserve"> </w:t>
      </w:r>
      <w:r w:rsidR="003B70E0" w:rsidRPr="00C158C1">
        <w:rPr>
          <w:sz w:val="24"/>
          <w:szCs w:val="24"/>
        </w:rPr>
        <w:t>registrat</w:t>
      </w:r>
      <w:r w:rsidRPr="00C158C1">
        <w:rPr>
          <w:sz w:val="24"/>
          <w:szCs w:val="24"/>
        </w:rPr>
        <w:t>o il massimo storico</w:t>
      </w:r>
      <w:r w:rsidR="003B70E0" w:rsidRPr="00C158C1">
        <w:rPr>
          <w:sz w:val="24"/>
          <w:szCs w:val="24"/>
        </w:rPr>
        <w:t xml:space="preserve"> di presenze turistiche straniere complessive, pari al </w:t>
      </w:r>
      <w:r w:rsidRPr="00C158C1">
        <w:rPr>
          <w:sz w:val="24"/>
          <w:szCs w:val="24"/>
        </w:rPr>
        <w:t>52,4%.</w:t>
      </w:r>
    </w:p>
    <w:p w14:paraId="0601B59E" w14:textId="1DB6C4B6" w:rsidR="003277A5" w:rsidRPr="00C158C1" w:rsidRDefault="003277A5" w:rsidP="00C158C1">
      <w:pPr>
        <w:spacing w:after="0" w:line="240" w:lineRule="auto"/>
        <w:jc w:val="both"/>
        <w:rPr>
          <w:sz w:val="24"/>
          <w:szCs w:val="24"/>
        </w:rPr>
      </w:pPr>
      <w:r w:rsidRPr="00C158C1">
        <w:rPr>
          <w:sz w:val="24"/>
          <w:szCs w:val="24"/>
        </w:rPr>
        <w:t xml:space="preserve">Tra gennaio e luglio 2024, si contano 33 milioni di notti prenotate sul </w:t>
      </w:r>
      <w:r w:rsidRPr="00C158C1">
        <w:rPr>
          <w:b/>
          <w:bCs/>
          <w:sz w:val="24"/>
          <w:szCs w:val="24"/>
        </w:rPr>
        <w:t xml:space="preserve">portale </w:t>
      </w:r>
      <w:proofErr w:type="spellStart"/>
      <w:r w:rsidRPr="00C158C1">
        <w:rPr>
          <w:b/>
          <w:bCs/>
          <w:sz w:val="24"/>
          <w:szCs w:val="24"/>
        </w:rPr>
        <w:t>AirBnB</w:t>
      </w:r>
      <w:proofErr w:type="spellEnd"/>
      <w:r w:rsidRPr="00C158C1">
        <w:rPr>
          <w:sz w:val="24"/>
          <w:szCs w:val="24"/>
        </w:rPr>
        <w:t xml:space="preserve"> (+ 2,7% sul 2023), per un fatturato di 6 miliardi di euro. Sono oramai oltre 800mila gli alloggi disponibili nel nostro Paese. La struttura d’offerta mostra ancora una forte polarizzazione in alcune regioni: Toscana,</w:t>
      </w:r>
      <w:r w:rsidR="00D127DE" w:rsidRPr="00C158C1">
        <w:rPr>
          <w:sz w:val="24"/>
          <w:szCs w:val="24"/>
        </w:rPr>
        <w:t xml:space="preserve"> Sicilia e Lombardia</w:t>
      </w:r>
      <w:r w:rsidR="0076202C" w:rsidRPr="00C158C1">
        <w:rPr>
          <w:sz w:val="24"/>
          <w:szCs w:val="24"/>
        </w:rPr>
        <w:t xml:space="preserve"> in particolare</w:t>
      </w:r>
      <w:r w:rsidR="00D127DE" w:rsidRPr="00C158C1">
        <w:rPr>
          <w:sz w:val="24"/>
          <w:szCs w:val="24"/>
        </w:rPr>
        <w:t>.</w:t>
      </w:r>
    </w:p>
    <w:p w14:paraId="1E5E910E" w14:textId="68A78A72" w:rsidR="00F74AE7" w:rsidRPr="00C158C1" w:rsidRDefault="00F74AE7" w:rsidP="00C158C1">
      <w:pPr>
        <w:spacing w:after="0" w:line="240" w:lineRule="auto"/>
        <w:jc w:val="both"/>
        <w:rPr>
          <w:sz w:val="24"/>
          <w:szCs w:val="24"/>
        </w:rPr>
      </w:pPr>
      <w:r w:rsidRPr="00C158C1">
        <w:rPr>
          <w:sz w:val="24"/>
          <w:szCs w:val="24"/>
        </w:rPr>
        <w:t>Appare strategico il posizionamento dell’offerta turistica del Paese verso il target di domanda rappresentato dalle nuove generazioni: in particolare, sommando le presenze delle due classi generazionali Y (</w:t>
      </w:r>
      <w:r w:rsidR="00D127DE" w:rsidRPr="00C158C1">
        <w:rPr>
          <w:sz w:val="24"/>
          <w:szCs w:val="24"/>
        </w:rPr>
        <w:t>29-43 anni</w:t>
      </w:r>
      <w:r w:rsidRPr="00C158C1">
        <w:rPr>
          <w:sz w:val="24"/>
          <w:szCs w:val="24"/>
        </w:rPr>
        <w:t>) e Z (</w:t>
      </w:r>
      <w:r w:rsidR="00D127DE" w:rsidRPr="00C158C1">
        <w:rPr>
          <w:sz w:val="24"/>
          <w:szCs w:val="24"/>
        </w:rPr>
        <w:t>18-28 anni</w:t>
      </w:r>
      <w:r w:rsidRPr="00C158C1">
        <w:rPr>
          <w:sz w:val="24"/>
          <w:szCs w:val="24"/>
        </w:rPr>
        <w:t>) si trova che quest</w:t>
      </w:r>
      <w:r w:rsidR="0076202C" w:rsidRPr="00C158C1">
        <w:rPr>
          <w:sz w:val="24"/>
          <w:szCs w:val="24"/>
        </w:rPr>
        <w:t>e</w:t>
      </w:r>
      <w:r w:rsidRPr="00C158C1">
        <w:rPr>
          <w:sz w:val="24"/>
          <w:szCs w:val="24"/>
        </w:rPr>
        <w:t xml:space="preserve"> fanno be</w:t>
      </w:r>
      <w:r w:rsidR="003277A5" w:rsidRPr="00C158C1">
        <w:rPr>
          <w:sz w:val="24"/>
          <w:szCs w:val="24"/>
        </w:rPr>
        <w:t>n</w:t>
      </w:r>
      <w:r w:rsidRPr="00C158C1">
        <w:rPr>
          <w:sz w:val="24"/>
          <w:szCs w:val="24"/>
        </w:rPr>
        <w:t xml:space="preserve"> i</w:t>
      </w:r>
      <w:r w:rsidR="003277A5" w:rsidRPr="00C158C1">
        <w:rPr>
          <w:sz w:val="24"/>
          <w:szCs w:val="24"/>
        </w:rPr>
        <w:t>l</w:t>
      </w:r>
      <w:r w:rsidRPr="00C158C1">
        <w:rPr>
          <w:sz w:val="24"/>
          <w:szCs w:val="24"/>
        </w:rPr>
        <w:t xml:space="preserve"> 57% della domanda.</w:t>
      </w:r>
    </w:p>
    <w:p w14:paraId="09205D83" w14:textId="21D80946" w:rsidR="0048309B" w:rsidRPr="00C158C1" w:rsidRDefault="00F74AE7" w:rsidP="00C158C1">
      <w:pPr>
        <w:spacing w:after="0" w:line="240" w:lineRule="auto"/>
        <w:jc w:val="both"/>
        <w:rPr>
          <w:sz w:val="24"/>
          <w:szCs w:val="24"/>
        </w:rPr>
      </w:pPr>
      <w:r w:rsidRPr="00C158C1">
        <w:rPr>
          <w:sz w:val="24"/>
          <w:szCs w:val="24"/>
        </w:rPr>
        <w:t xml:space="preserve">Un’utenza che utilizza il web per informarsi e prenotare la vacanza (51%), fortemente </w:t>
      </w:r>
      <w:r w:rsidR="0048309B" w:rsidRPr="00C158C1">
        <w:rPr>
          <w:sz w:val="24"/>
          <w:szCs w:val="24"/>
        </w:rPr>
        <w:t>motivat</w:t>
      </w:r>
      <w:r w:rsidR="0076202C" w:rsidRPr="00C158C1">
        <w:rPr>
          <w:sz w:val="24"/>
          <w:szCs w:val="24"/>
        </w:rPr>
        <w:t>a</w:t>
      </w:r>
      <w:r w:rsidR="0048309B" w:rsidRPr="00C158C1">
        <w:rPr>
          <w:sz w:val="24"/>
          <w:szCs w:val="24"/>
        </w:rPr>
        <w:t xml:space="preserve"> dal binomio cultura e natura</w:t>
      </w:r>
      <w:r w:rsidRPr="00C158C1">
        <w:rPr>
          <w:sz w:val="24"/>
          <w:szCs w:val="24"/>
        </w:rPr>
        <w:t xml:space="preserve"> ed a medio-alta capacità di spesa (</w:t>
      </w:r>
      <w:r w:rsidR="0048309B" w:rsidRPr="00C158C1">
        <w:rPr>
          <w:sz w:val="24"/>
          <w:szCs w:val="24"/>
        </w:rPr>
        <w:t>circa 80 euro a persona per l’alloggio e 97 euro al giorno per le spese sul territorio</w:t>
      </w:r>
      <w:r w:rsidR="00066C83" w:rsidRPr="00C158C1">
        <w:rPr>
          <w:sz w:val="24"/>
          <w:szCs w:val="24"/>
        </w:rPr>
        <w:t xml:space="preserve">, </w:t>
      </w:r>
      <w:r w:rsidR="0048309B" w:rsidRPr="00C158C1">
        <w:rPr>
          <w:sz w:val="24"/>
          <w:szCs w:val="24"/>
        </w:rPr>
        <w:t xml:space="preserve">+ 37 euro rispetto al 2023). </w:t>
      </w:r>
    </w:p>
    <w:p w14:paraId="00518033" w14:textId="77777777" w:rsidR="008109E1" w:rsidRDefault="008109E1" w:rsidP="009612E6">
      <w:pPr>
        <w:jc w:val="both"/>
        <w:rPr>
          <w:sz w:val="28"/>
          <w:szCs w:val="28"/>
        </w:rPr>
      </w:pPr>
    </w:p>
    <w:p w14:paraId="5F3E2FB8" w14:textId="77777777" w:rsidR="008109E1" w:rsidRDefault="008109E1" w:rsidP="009612E6">
      <w:pPr>
        <w:jc w:val="both"/>
        <w:rPr>
          <w:sz w:val="28"/>
          <w:szCs w:val="28"/>
        </w:rPr>
      </w:pPr>
    </w:p>
    <w:p w14:paraId="3E4F611D" w14:textId="77777777" w:rsidR="008109E1" w:rsidRDefault="008109E1" w:rsidP="009612E6">
      <w:pPr>
        <w:jc w:val="both"/>
        <w:rPr>
          <w:sz w:val="28"/>
          <w:szCs w:val="28"/>
        </w:rPr>
      </w:pPr>
    </w:p>
    <w:p w14:paraId="60D6A8A7" w14:textId="77777777" w:rsidR="008109E1" w:rsidRDefault="008109E1" w:rsidP="00A70C73">
      <w:pPr>
        <w:jc w:val="both"/>
        <w:rPr>
          <w:b/>
          <w:bCs/>
          <w:sz w:val="28"/>
          <w:szCs w:val="28"/>
        </w:rPr>
      </w:pPr>
    </w:p>
    <w:p w14:paraId="67746871" w14:textId="20EC9B5B" w:rsidR="00314B33" w:rsidRPr="00314B33" w:rsidRDefault="00314B33" w:rsidP="006A6A2F">
      <w:pPr>
        <w:jc w:val="both"/>
        <w:rPr>
          <w:sz w:val="28"/>
          <w:szCs w:val="28"/>
        </w:rPr>
      </w:pPr>
    </w:p>
    <w:p w14:paraId="683A5B35" w14:textId="609790BF" w:rsidR="00D8303F" w:rsidRPr="005E5E34" w:rsidRDefault="00D8303F" w:rsidP="00466270">
      <w:pPr>
        <w:spacing w:after="0" w:line="240" w:lineRule="auto"/>
        <w:jc w:val="both"/>
        <w:rPr>
          <w:sz w:val="28"/>
          <w:szCs w:val="28"/>
        </w:rPr>
      </w:pPr>
    </w:p>
    <w:sectPr w:rsidR="00D8303F" w:rsidRPr="005E5E3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D689" w14:textId="77777777" w:rsidR="00F94DDF" w:rsidRDefault="00F94DDF" w:rsidP="00EC58AB">
      <w:pPr>
        <w:spacing w:after="0" w:line="240" w:lineRule="auto"/>
      </w:pPr>
      <w:r>
        <w:separator/>
      </w:r>
    </w:p>
  </w:endnote>
  <w:endnote w:type="continuationSeparator" w:id="0">
    <w:p w14:paraId="0EC1A2D0" w14:textId="77777777" w:rsidR="00F94DDF" w:rsidRDefault="00F94DDF" w:rsidP="00EC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40750" w14:textId="77777777" w:rsidR="00F94DDF" w:rsidRDefault="00F94DDF" w:rsidP="00EC58AB">
      <w:pPr>
        <w:spacing w:after="0" w:line="240" w:lineRule="auto"/>
      </w:pPr>
      <w:r>
        <w:separator/>
      </w:r>
    </w:p>
  </w:footnote>
  <w:footnote w:type="continuationSeparator" w:id="0">
    <w:p w14:paraId="359243D0" w14:textId="77777777" w:rsidR="00F94DDF" w:rsidRDefault="00F94DDF" w:rsidP="00EC58AB">
      <w:pPr>
        <w:spacing w:after="0" w:line="240" w:lineRule="auto"/>
      </w:pPr>
      <w:r>
        <w:continuationSeparator/>
      </w:r>
    </w:p>
  </w:footnote>
  <w:footnote w:id="1">
    <w:p w14:paraId="39B032AC" w14:textId="77777777" w:rsidR="0048309B" w:rsidRDefault="0048309B" w:rsidP="0048309B">
      <w:pPr>
        <w:pStyle w:val="Testonotaapidipagina"/>
      </w:pPr>
      <w:r>
        <w:rPr>
          <w:rStyle w:val="Rimandonotaapidipagina"/>
        </w:rPr>
        <w:footnoteRef/>
      </w:r>
      <w:r>
        <w:t xml:space="preserve"> </w:t>
      </w:r>
      <w:r w:rsidRPr="00EC58AB">
        <w:rPr>
          <w:sz w:val="16"/>
          <w:szCs w:val="16"/>
        </w:rPr>
        <w:t>S</w:t>
      </w:r>
      <w:r w:rsidRPr="00EC58AB">
        <w:rPr>
          <w:i/>
          <w:iCs/>
          <w:sz w:val="16"/>
          <w:szCs w:val="16"/>
        </w:rPr>
        <w:t>trumento innovativo che utilizza Big Data generati dalle mobile app presenti sugli smartphone dei turisti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B5E3B" w14:textId="62E9E621" w:rsidR="00876B40" w:rsidRDefault="00876B40">
    <w:pPr>
      <w:pStyle w:val="Intestazione"/>
    </w:pPr>
    <w:r>
      <w:rPr>
        <w:b/>
        <w:bCs/>
        <w:noProof/>
        <w:sz w:val="28"/>
        <w:szCs w:val="28"/>
      </w:rPr>
      <w:drawing>
        <wp:inline distT="0" distB="0" distL="0" distR="0" wp14:anchorId="6CC2FFAE" wp14:editId="6AB629E4">
          <wp:extent cx="1670755" cy="350342"/>
          <wp:effectExtent l="0" t="0" r="5715" b="0"/>
          <wp:docPr id="8958245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24528" name="Immagine 895824528"/>
                  <pic:cNvPicPr/>
                </pic:nvPicPr>
                <pic:blipFill>
                  <a:blip r:embed="rId1">
                    <a:extLst>
                      <a:ext uri="{28A0092B-C50C-407E-A947-70E740481C1C}">
                        <a14:useLocalDpi xmlns:a14="http://schemas.microsoft.com/office/drawing/2010/main" val="0"/>
                      </a:ext>
                    </a:extLst>
                  </a:blip>
                  <a:stretch>
                    <a:fillRect/>
                  </a:stretch>
                </pic:blipFill>
                <pic:spPr>
                  <a:xfrm>
                    <a:off x="0" y="0"/>
                    <a:ext cx="1688232" cy="354007"/>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422E6CA2" wp14:editId="3A596B5A">
          <wp:extent cx="1074389" cy="350590"/>
          <wp:effectExtent l="0" t="0" r="0" b="0"/>
          <wp:docPr id="17780747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74703" name="Immagine 1778074703"/>
                  <pic:cNvPicPr/>
                </pic:nvPicPr>
                <pic:blipFill>
                  <a:blip r:embed="rId2">
                    <a:extLst>
                      <a:ext uri="{28A0092B-C50C-407E-A947-70E740481C1C}">
                        <a14:useLocalDpi xmlns:a14="http://schemas.microsoft.com/office/drawing/2010/main" val="0"/>
                      </a:ext>
                    </a:extLst>
                  </a:blip>
                  <a:stretch>
                    <a:fillRect/>
                  </a:stretch>
                </pic:blipFill>
                <pic:spPr>
                  <a:xfrm>
                    <a:off x="0" y="0"/>
                    <a:ext cx="1091064" cy="356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5142A"/>
    <w:multiLevelType w:val="hybridMultilevel"/>
    <w:tmpl w:val="A7EA57AC"/>
    <w:lvl w:ilvl="0" w:tplc="E5CEA0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352F4F"/>
    <w:multiLevelType w:val="hybridMultilevel"/>
    <w:tmpl w:val="3C365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2844470">
    <w:abstractNumId w:val="0"/>
  </w:num>
  <w:num w:numId="2" w16cid:durableId="24014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3"/>
    <w:rsid w:val="0000076D"/>
    <w:rsid w:val="000026C4"/>
    <w:rsid w:val="000166B3"/>
    <w:rsid w:val="00017A50"/>
    <w:rsid w:val="00017D50"/>
    <w:rsid w:val="000230BF"/>
    <w:rsid w:val="000269E6"/>
    <w:rsid w:val="00026C42"/>
    <w:rsid w:val="000362B2"/>
    <w:rsid w:val="00066C83"/>
    <w:rsid w:val="00075664"/>
    <w:rsid w:val="000837A4"/>
    <w:rsid w:val="0008431C"/>
    <w:rsid w:val="00091114"/>
    <w:rsid w:val="000A2ED6"/>
    <w:rsid w:val="000B0B28"/>
    <w:rsid w:val="000B3AEA"/>
    <w:rsid w:val="000D33D1"/>
    <w:rsid w:val="000F414D"/>
    <w:rsid w:val="00110E15"/>
    <w:rsid w:val="00112666"/>
    <w:rsid w:val="001329FE"/>
    <w:rsid w:val="00134CCF"/>
    <w:rsid w:val="00151AC4"/>
    <w:rsid w:val="001562F7"/>
    <w:rsid w:val="0015754C"/>
    <w:rsid w:val="001575C4"/>
    <w:rsid w:val="001725C2"/>
    <w:rsid w:val="00182BC1"/>
    <w:rsid w:val="00185EDB"/>
    <w:rsid w:val="001931DD"/>
    <w:rsid w:val="00194017"/>
    <w:rsid w:val="00194DDD"/>
    <w:rsid w:val="001B56E8"/>
    <w:rsid w:val="001C1442"/>
    <w:rsid w:val="001D3631"/>
    <w:rsid w:val="001E1290"/>
    <w:rsid w:val="001E3889"/>
    <w:rsid w:val="001F2BAF"/>
    <w:rsid w:val="001F4C60"/>
    <w:rsid w:val="00202ADE"/>
    <w:rsid w:val="00205DFC"/>
    <w:rsid w:val="00214F91"/>
    <w:rsid w:val="002168DA"/>
    <w:rsid w:val="002203CF"/>
    <w:rsid w:val="00241B9E"/>
    <w:rsid w:val="00251F3F"/>
    <w:rsid w:val="002B46AD"/>
    <w:rsid w:val="002C64FB"/>
    <w:rsid w:val="002D3C66"/>
    <w:rsid w:val="002D3DC8"/>
    <w:rsid w:val="002D3E95"/>
    <w:rsid w:val="002D79D6"/>
    <w:rsid w:val="002D7EFE"/>
    <w:rsid w:val="002F0C3B"/>
    <w:rsid w:val="00300DBC"/>
    <w:rsid w:val="00304C2D"/>
    <w:rsid w:val="00306765"/>
    <w:rsid w:val="00314B33"/>
    <w:rsid w:val="00315F95"/>
    <w:rsid w:val="003277A5"/>
    <w:rsid w:val="00340118"/>
    <w:rsid w:val="00342989"/>
    <w:rsid w:val="00364B1C"/>
    <w:rsid w:val="0036536D"/>
    <w:rsid w:val="00367C2D"/>
    <w:rsid w:val="00370D61"/>
    <w:rsid w:val="00386A41"/>
    <w:rsid w:val="003875E2"/>
    <w:rsid w:val="00394BFB"/>
    <w:rsid w:val="003A3772"/>
    <w:rsid w:val="003B131F"/>
    <w:rsid w:val="003B70E0"/>
    <w:rsid w:val="003C0145"/>
    <w:rsid w:val="003C3EF9"/>
    <w:rsid w:val="003C6AF9"/>
    <w:rsid w:val="003D543D"/>
    <w:rsid w:val="003E2E28"/>
    <w:rsid w:val="003E3D71"/>
    <w:rsid w:val="003F6A43"/>
    <w:rsid w:val="0040081E"/>
    <w:rsid w:val="00407E65"/>
    <w:rsid w:val="00414B37"/>
    <w:rsid w:val="00420DCB"/>
    <w:rsid w:val="00420E0B"/>
    <w:rsid w:val="004637C3"/>
    <w:rsid w:val="00466270"/>
    <w:rsid w:val="00472125"/>
    <w:rsid w:val="00475169"/>
    <w:rsid w:val="00475D4F"/>
    <w:rsid w:val="00481BE4"/>
    <w:rsid w:val="0048309B"/>
    <w:rsid w:val="00494A03"/>
    <w:rsid w:val="004957D4"/>
    <w:rsid w:val="004A2F53"/>
    <w:rsid w:val="004B3549"/>
    <w:rsid w:val="004B70CE"/>
    <w:rsid w:val="004B7C66"/>
    <w:rsid w:val="004C3992"/>
    <w:rsid w:val="004C63EB"/>
    <w:rsid w:val="004D1601"/>
    <w:rsid w:val="004D2251"/>
    <w:rsid w:val="004E275E"/>
    <w:rsid w:val="004E72A1"/>
    <w:rsid w:val="004F5256"/>
    <w:rsid w:val="00512D12"/>
    <w:rsid w:val="005163DB"/>
    <w:rsid w:val="00516DD8"/>
    <w:rsid w:val="00523ED4"/>
    <w:rsid w:val="00527595"/>
    <w:rsid w:val="00542099"/>
    <w:rsid w:val="00546DFC"/>
    <w:rsid w:val="00547F16"/>
    <w:rsid w:val="005524F7"/>
    <w:rsid w:val="00553F12"/>
    <w:rsid w:val="0058504D"/>
    <w:rsid w:val="00587C58"/>
    <w:rsid w:val="00591378"/>
    <w:rsid w:val="00591C24"/>
    <w:rsid w:val="00592954"/>
    <w:rsid w:val="005A56D8"/>
    <w:rsid w:val="005C2078"/>
    <w:rsid w:val="005D6234"/>
    <w:rsid w:val="005E2F6B"/>
    <w:rsid w:val="005E5E34"/>
    <w:rsid w:val="005F1408"/>
    <w:rsid w:val="006019D2"/>
    <w:rsid w:val="00610004"/>
    <w:rsid w:val="0062465C"/>
    <w:rsid w:val="00632660"/>
    <w:rsid w:val="00637ABD"/>
    <w:rsid w:val="0064447C"/>
    <w:rsid w:val="006457B5"/>
    <w:rsid w:val="0066220A"/>
    <w:rsid w:val="00662FFF"/>
    <w:rsid w:val="00675021"/>
    <w:rsid w:val="00680ECA"/>
    <w:rsid w:val="00683C81"/>
    <w:rsid w:val="00691986"/>
    <w:rsid w:val="00692C4E"/>
    <w:rsid w:val="006A1DDA"/>
    <w:rsid w:val="006A2BE4"/>
    <w:rsid w:val="006A6A2F"/>
    <w:rsid w:val="006B5AB6"/>
    <w:rsid w:val="006B6FE2"/>
    <w:rsid w:val="006B7550"/>
    <w:rsid w:val="006E010C"/>
    <w:rsid w:val="006E0A38"/>
    <w:rsid w:val="006F0661"/>
    <w:rsid w:val="006F336D"/>
    <w:rsid w:val="006F6169"/>
    <w:rsid w:val="0070235B"/>
    <w:rsid w:val="00717101"/>
    <w:rsid w:val="00720197"/>
    <w:rsid w:val="007207FB"/>
    <w:rsid w:val="00721524"/>
    <w:rsid w:val="00722236"/>
    <w:rsid w:val="00724BE1"/>
    <w:rsid w:val="00725022"/>
    <w:rsid w:val="007353E3"/>
    <w:rsid w:val="00741697"/>
    <w:rsid w:val="0076202C"/>
    <w:rsid w:val="00782BFC"/>
    <w:rsid w:val="007943A3"/>
    <w:rsid w:val="007A0A03"/>
    <w:rsid w:val="007A19A2"/>
    <w:rsid w:val="007A2CF9"/>
    <w:rsid w:val="007B3382"/>
    <w:rsid w:val="007C2D7E"/>
    <w:rsid w:val="007D5AAA"/>
    <w:rsid w:val="007E0191"/>
    <w:rsid w:val="007E0473"/>
    <w:rsid w:val="007E10B5"/>
    <w:rsid w:val="007E3918"/>
    <w:rsid w:val="007E52C9"/>
    <w:rsid w:val="007F01AF"/>
    <w:rsid w:val="007F272F"/>
    <w:rsid w:val="0080301D"/>
    <w:rsid w:val="008109E1"/>
    <w:rsid w:val="008149E3"/>
    <w:rsid w:val="00815492"/>
    <w:rsid w:val="008212B9"/>
    <w:rsid w:val="0082163E"/>
    <w:rsid w:val="008244A3"/>
    <w:rsid w:val="0084345F"/>
    <w:rsid w:val="008554E9"/>
    <w:rsid w:val="00870BF0"/>
    <w:rsid w:val="0087415B"/>
    <w:rsid w:val="00874850"/>
    <w:rsid w:val="00876B40"/>
    <w:rsid w:val="008777DC"/>
    <w:rsid w:val="00881C1C"/>
    <w:rsid w:val="00886A90"/>
    <w:rsid w:val="0089490D"/>
    <w:rsid w:val="00895279"/>
    <w:rsid w:val="008A7291"/>
    <w:rsid w:val="008A741A"/>
    <w:rsid w:val="008B48A3"/>
    <w:rsid w:val="008C5AC1"/>
    <w:rsid w:val="008D076A"/>
    <w:rsid w:val="008D7B1F"/>
    <w:rsid w:val="008E1311"/>
    <w:rsid w:val="008E216F"/>
    <w:rsid w:val="008E4CA5"/>
    <w:rsid w:val="008E59B1"/>
    <w:rsid w:val="008E5C46"/>
    <w:rsid w:val="00903263"/>
    <w:rsid w:val="00914F50"/>
    <w:rsid w:val="009226F7"/>
    <w:rsid w:val="009248EB"/>
    <w:rsid w:val="00924D7C"/>
    <w:rsid w:val="009253E1"/>
    <w:rsid w:val="00942B48"/>
    <w:rsid w:val="00942FEE"/>
    <w:rsid w:val="00945E59"/>
    <w:rsid w:val="009468D8"/>
    <w:rsid w:val="00950933"/>
    <w:rsid w:val="00952126"/>
    <w:rsid w:val="00953B1F"/>
    <w:rsid w:val="00954224"/>
    <w:rsid w:val="00955B4B"/>
    <w:rsid w:val="009607A5"/>
    <w:rsid w:val="009612E6"/>
    <w:rsid w:val="00966617"/>
    <w:rsid w:val="00966639"/>
    <w:rsid w:val="009718D7"/>
    <w:rsid w:val="00975790"/>
    <w:rsid w:val="00983F2C"/>
    <w:rsid w:val="0099215A"/>
    <w:rsid w:val="00994400"/>
    <w:rsid w:val="009A6534"/>
    <w:rsid w:val="009B125D"/>
    <w:rsid w:val="009D141D"/>
    <w:rsid w:val="009D382F"/>
    <w:rsid w:val="009D6ADE"/>
    <w:rsid w:val="009E3390"/>
    <w:rsid w:val="009F3DA6"/>
    <w:rsid w:val="009F71DD"/>
    <w:rsid w:val="00A03E96"/>
    <w:rsid w:val="00A07D5C"/>
    <w:rsid w:val="00A12922"/>
    <w:rsid w:val="00A21BD6"/>
    <w:rsid w:val="00A235FB"/>
    <w:rsid w:val="00A34800"/>
    <w:rsid w:val="00A4550D"/>
    <w:rsid w:val="00A458E2"/>
    <w:rsid w:val="00A51502"/>
    <w:rsid w:val="00A575E4"/>
    <w:rsid w:val="00A6236A"/>
    <w:rsid w:val="00A70C73"/>
    <w:rsid w:val="00A72316"/>
    <w:rsid w:val="00A7518D"/>
    <w:rsid w:val="00A75408"/>
    <w:rsid w:val="00A76A88"/>
    <w:rsid w:val="00A92671"/>
    <w:rsid w:val="00AB3689"/>
    <w:rsid w:val="00AC25C6"/>
    <w:rsid w:val="00AC5BFC"/>
    <w:rsid w:val="00AD1898"/>
    <w:rsid w:val="00AD724F"/>
    <w:rsid w:val="00AE7831"/>
    <w:rsid w:val="00AF1051"/>
    <w:rsid w:val="00B017B2"/>
    <w:rsid w:val="00B054E2"/>
    <w:rsid w:val="00B05B15"/>
    <w:rsid w:val="00B06183"/>
    <w:rsid w:val="00B06CB9"/>
    <w:rsid w:val="00B15090"/>
    <w:rsid w:val="00B22D18"/>
    <w:rsid w:val="00B30907"/>
    <w:rsid w:val="00B3185D"/>
    <w:rsid w:val="00B31CFA"/>
    <w:rsid w:val="00B805B4"/>
    <w:rsid w:val="00B82613"/>
    <w:rsid w:val="00B845BA"/>
    <w:rsid w:val="00B86BDD"/>
    <w:rsid w:val="00B91AE2"/>
    <w:rsid w:val="00B9299E"/>
    <w:rsid w:val="00B96065"/>
    <w:rsid w:val="00BA36AA"/>
    <w:rsid w:val="00BA4D1A"/>
    <w:rsid w:val="00BB31B4"/>
    <w:rsid w:val="00BB692F"/>
    <w:rsid w:val="00BB7C58"/>
    <w:rsid w:val="00BD116B"/>
    <w:rsid w:val="00BD4F7E"/>
    <w:rsid w:val="00BD5727"/>
    <w:rsid w:val="00BE0D2A"/>
    <w:rsid w:val="00BE26C2"/>
    <w:rsid w:val="00BF6AC9"/>
    <w:rsid w:val="00C02CD2"/>
    <w:rsid w:val="00C0729D"/>
    <w:rsid w:val="00C158C1"/>
    <w:rsid w:val="00C367BD"/>
    <w:rsid w:val="00C43838"/>
    <w:rsid w:val="00C4418F"/>
    <w:rsid w:val="00C53C92"/>
    <w:rsid w:val="00C6614B"/>
    <w:rsid w:val="00C748C2"/>
    <w:rsid w:val="00C748C3"/>
    <w:rsid w:val="00C82831"/>
    <w:rsid w:val="00C8319C"/>
    <w:rsid w:val="00C91423"/>
    <w:rsid w:val="00CA1435"/>
    <w:rsid w:val="00CA1E5E"/>
    <w:rsid w:val="00CC551F"/>
    <w:rsid w:val="00CE20A0"/>
    <w:rsid w:val="00CF6064"/>
    <w:rsid w:val="00D02300"/>
    <w:rsid w:val="00D12638"/>
    <w:rsid w:val="00D127DE"/>
    <w:rsid w:val="00D149A1"/>
    <w:rsid w:val="00D1646B"/>
    <w:rsid w:val="00D23AD8"/>
    <w:rsid w:val="00D243D0"/>
    <w:rsid w:val="00D27FB9"/>
    <w:rsid w:val="00D34B9E"/>
    <w:rsid w:val="00D353D6"/>
    <w:rsid w:val="00D47DDD"/>
    <w:rsid w:val="00D54B50"/>
    <w:rsid w:val="00D653A9"/>
    <w:rsid w:val="00D7238A"/>
    <w:rsid w:val="00D742D9"/>
    <w:rsid w:val="00D76F88"/>
    <w:rsid w:val="00D8303F"/>
    <w:rsid w:val="00D87B84"/>
    <w:rsid w:val="00D9011D"/>
    <w:rsid w:val="00D93E1E"/>
    <w:rsid w:val="00DA5F45"/>
    <w:rsid w:val="00DB1418"/>
    <w:rsid w:val="00DB4E5B"/>
    <w:rsid w:val="00DC1D96"/>
    <w:rsid w:val="00DC5FA6"/>
    <w:rsid w:val="00DE2236"/>
    <w:rsid w:val="00E074C8"/>
    <w:rsid w:val="00E12287"/>
    <w:rsid w:val="00E2775D"/>
    <w:rsid w:val="00E3445A"/>
    <w:rsid w:val="00E57E99"/>
    <w:rsid w:val="00E708D7"/>
    <w:rsid w:val="00E759AC"/>
    <w:rsid w:val="00E8206F"/>
    <w:rsid w:val="00E917AD"/>
    <w:rsid w:val="00EC2A03"/>
    <w:rsid w:val="00EC30D1"/>
    <w:rsid w:val="00EC34C5"/>
    <w:rsid w:val="00EC58AB"/>
    <w:rsid w:val="00ED33CB"/>
    <w:rsid w:val="00ED48AF"/>
    <w:rsid w:val="00ED67EE"/>
    <w:rsid w:val="00ED7E05"/>
    <w:rsid w:val="00EE1CDC"/>
    <w:rsid w:val="00EF25BC"/>
    <w:rsid w:val="00EF2F9D"/>
    <w:rsid w:val="00EF51D8"/>
    <w:rsid w:val="00EF6F64"/>
    <w:rsid w:val="00F03783"/>
    <w:rsid w:val="00F140D6"/>
    <w:rsid w:val="00F160DB"/>
    <w:rsid w:val="00F16ECC"/>
    <w:rsid w:val="00F332F6"/>
    <w:rsid w:val="00F35F79"/>
    <w:rsid w:val="00F47A7B"/>
    <w:rsid w:val="00F54494"/>
    <w:rsid w:val="00F64A5D"/>
    <w:rsid w:val="00F723AE"/>
    <w:rsid w:val="00F73778"/>
    <w:rsid w:val="00F74AE7"/>
    <w:rsid w:val="00F75038"/>
    <w:rsid w:val="00F75EEC"/>
    <w:rsid w:val="00F76D2D"/>
    <w:rsid w:val="00F941E7"/>
    <w:rsid w:val="00F946A1"/>
    <w:rsid w:val="00F94DDF"/>
    <w:rsid w:val="00FA659D"/>
    <w:rsid w:val="00FB5781"/>
    <w:rsid w:val="00FC272C"/>
    <w:rsid w:val="00FC3E7A"/>
    <w:rsid w:val="00FD42AF"/>
    <w:rsid w:val="00FD6409"/>
    <w:rsid w:val="00FD7002"/>
    <w:rsid w:val="00FF0594"/>
    <w:rsid w:val="00FF35B5"/>
    <w:rsid w:val="00FF3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841A"/>
  <w15:chartTrackingRefBased/>
  <w15:docId w15:val="{8E1243E1-F7F0-4033-AD52-1AFA86B7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466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3DC8"/>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link w:val="ParagrafoelencoCarattere"/>
    <w:uiPriority w:val="34"/>
    <w:qFormat/>
    <w:rsid w:val="00637ABD"/>
    <w:pPr>
      <w:ind w:left="720"/>
      <w:contextualSpacing/>
    </w:pPr>
  </w:style>
  <w:style w:type="paragraph" w:styleId="Testonotaapidipagina">
    <w:name w:val="footnote text"/>
    <w:basedOn w:val="Normale"/>
    <w:link w:val="TestonotaapidipaginaCarattere"/>
    <w:uiPriority w:val="99"/>
    <w:semiHidden/>
    <w:unhideWhenUsed/>
    <w:rsid w:val="00EC58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C58AB"/>
    <w:rPr>
      <w:sz w:val="20"/>
      <w:szCs w:val="20"/>
    </w:rPr>
  </w:style>
  <w:style w:type="character" w:styleId="Rimandonotaapidipagina">
    <w:name w:val="footnote reference"/>
    <w:basedOn w:val="Carpredefinitoparagrafo"/>
    <w:uiPriority w:val="99"/>
    <w:semiHidden/>
    <w:unhideWhenUsed/>
    <w:rsid w:val="00EC58AB"/>
    <w:rPr>
      <w:vertAlign w:val="superscript"/>
    </w:rPr>
  </w:style>
  <w:style w:type="paragraph" w:styleId="Intestazione">
    <w:name w:val="header"/>
    <w:basedOn w:val="Normale"/>
    <w:link w:val="IntestazioneCarattere"/>
    <w:uiPriority w:val="99"/>
    <w:unhideWhenUsed/>
    <w:rsid w:val="00876B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6B40"/>
  </w:style>
  <w:style w:type="paragraph" w:styleId="Pidipagina">
    <w:name w:val="footer"/>
    <w:basedOn w:val="Normale"/>
    <w:link w:val="PidipaginaCarattere"/>
    <w:uiPriority w:val="99"/>
    <w:unhideWhenUsed/>
    <w:rsid w:val="00876B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6B40"/>
  </w:style>
  <w:style w:type="character" w:styleId="Collegamentoipertestuale">
    <w:name w:val="Hyperlink"/>
    <w:basedOn w:val="Carpredefinitoparagrafo"/>
    <w:uiPriority w:val="99"/>
    <w:unhideWhenUsed/>
    <w:rsid w:val="00876B40"/>
    <w:rPr>
      <w:color w:val="0563C1" w:themeColor="hyperlink"/>
      <w:u w:val="single"/>
    </w:rPr>
  </w:style>
  <w:style w:type="character" w:styleId="Menzionenonrisolta">
    <w:name w:val="Unresolved Mention"/>
    <w:basedOn w:val="Carpredefinitoparagrafo"/>
    <w:uiPriority w:val="99"/>
    <w:semiHidden/>
    <w:unhideWhenUsed/>
    <w:rsid w:val="00876B40"/>
    <w:rPr>
      <w:color w:val="605E5C"/>
      <w:shd w:val="clear" w:color="auto" w:fill="E1DFDD"/>
    </w:rPr>
  </w:style>
  <w:style w:type="character" w:customStyle="1" w:styleId="Titolo2Carattere">
    <w:name w:val="Titolo 2 Carattere"/>
    <w:basedOn w:val="Carpredefinitoparagrafo"/>
    <w:link w:val="Titolo2"/>
    <w:uiPriority w:val="9"/>
    <w:semiHidden/>
    <w:rsid w:val="00466270"/>
    <w:rPr>
      <w:rFonts w:asciiTheme="majorHAnsi" w:eastAsiaTheme="majorEastAsia" w:hAnsiTheme="majorHAnsi" w:cstheme="majorBidi"/>
      <w:color w:val="2F5496" w:themeColor="accent1" w:themeShade="BF"/>
      <w:sz w:val="26"/>
      <w:szCs w:val="26"/>
    </w:rPr>
  </w:style>
  <w:style w:type="character" w:customStyle="1" w:styleId="ParagrafoelencoCarattere">
    <w:name w:val="Paragrafo elenco Carattere"/>
    <w:basedOn w:val="Carpredefinitoparagrafo"/>
    <w:link w:val="Paragrafoelenco"/>
    <w:uiPriority w:val="34"/>
    <w:rsid w:val="00370D61"/>
  </w:style>
  <w:style w:type="paragraph" w:styleId="Revisione">
    <w:name w:val="Revision"/>
    <w:hidden/>
    <w:uiPriority w:val="99"/>
    <w:semiHidden/>
    <w:rsid w:val="001D3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5655">
      <w:bodyDiv w:val="1"/>
      <w:marLeft w:val="0"/>
      <w:marRight w:val="0"/>
      <w:marTop w:val="0"/>
      <w:marBottom w:val="0"/>
      <w:divBdr>
        <w:top w:val="none" w:sz="0" w:space="0" w:color="auto"/>
        <w:left w:val="none" w:sz="0" w:space="0" w:color="auto"/>
        <w:bottom w:val="none" w:sz="0" w:space="0" w:color="auto"/>
        <w:right w:val="none" w:sz="0" w:space="0" w:color="auto"/>
      </w:divBdr>
    </w:div>
    <w:div w:id="261643304">
      <w:bodyDiv w:val="1"/>
      <w:marLeft w:val="0"/>
      <w:marRight w:val="0"/>
      <w:marTop w:val="0"/>
      <w:marBottom w:val="0"/>
      <w:divBdr>
        <w:top w:val="none" w:sz="0" w:space="0" w:color="auto"/>
        <w:left w:val="none" w:sz="0" w:space="0" w:color="auto"/>
        <w:bottom w:val="none" w:sz="0" w:space="0" w:color="auto"/>
        <w:right w:val="none" w:sz="0" w:space="0" w:color="auto"/>
      </w:divBdr>
    </w:div>
    <w:div w:id="397244880">
      <w:bodyDiv w:val="1"/>
      <w:marLeft w:val="0"/>
      <w:marRight w:val="0"/>
      <w:marTop w:val="0"/>
      <w:marBottom w:val="0"/>
      <w:divBdr>
        <w:top w:val="none" w:sz="0" w:space="0" w:color="auto"/>
        <w:left w:val="none" w:sz="0" w:space="0" w:color="auto"/>
        <w:bottom w:val="none" w:sz="0" w:space="0" w:color="auto"/>
        <w:right w:val="none" w:sz="0" w:space="0" w:color="auto"/>
      </w:divBdr>
    </w:div>
    <w:div w:id="553126158">
      <w:bodyDiv w:val="1"/>
      <w:marLeft w:val="0"/>
      <w:marRight w:val="0"/>
      <w:marTop w:val="0"/>
      <w:marBottom w:val="0"/>
      <w:divBdr>
        <w:top w:val="none" w:sz="0" w:space="0" w:color="auto"/>
        <w:left w:val="none" w:sz="0" w:space="0" w:color="auto"/>
        <w:bottom w:val="none" w:sz="0" w:space="0" w:color="auto"/>
        <w:right w:val="none" w:sz="0" w:space="0" w:color="auto"/>
      </w:divBdr>
    </w:div>
    <w:div w:id="678892518">
      <w:bodyDiv w:val="1"/>
      <w:marLeft w:val="0"/>
      <w:marRight w:val="0"/>
      <w:marTop w:val="0"/>
      <w:marBottom w:val="0"/>
      <w:divBdr>
        <w:top w:val="none" w:sz="0" w:space="0" w:color="auto"/>
        <w:left w:val="none" w:sz="0" w:space="0" w:color="auto"/>
        <w:bottom w:val="none" w:sz="0" w:space="0" w:color="auto"/>
        <w:right w:val="none" w:sz="0" w:space="0" w:color="auto"/>
      </w:divBdr>
    </w:div>
    <w:div w:id="1748771093">
      <w:bodyDiv w:val="1"/>
      <w:marLeft w:val="0"/>
      <w:marRight w:val="0"/>
      <w:marTop w:val="0"/>
      <w:marBottom w:val="0"/>
      <w:divBdr>
        <w:top w:val="none" w:sz="0" w:space="0" w:color="auto"/>
        <w:left w:val="none" w:sz="0" w:space="0" w:color="auto"/>
        <w:bottom w:val="none" w:sz="0" w:space="0" w:color="auto"/>
        <w:right w:val="none" w:sz="0" w:space="0" w:color="auto"/>
      </w:divBdr>
    </w:div>
    <w:div w:id="19459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2BA0-C084-41CC-88A5-05664228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792</Words>
  <Characters>4516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Liguori</dc:creator>
  <cp:keywords/>
  <dc:description/>
  <cp:lastModifiedBy>Alessandra Altina</cp:lastModifiedBy>
  <cp:revision>5</cp:revision>
  <cp:lastPrinted>2024-10-02T10:08:00Z</cp:lastPrinted>
  <dcterms:created xsi:type="dcterms:W3CDTF">2024-10-08T14:14:00Z</dcterms:created>
  <dcterms:modified xsi:type="dcterms:W3CDTF">2024-10-08T14:54:00Z</dcterms:modified>
</cp:coreProperties>
</file>