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3C85" w:rsidRDefault="00D63C85">
      <w:pPr>
        <w:pBdr>
          <w:top w:val="nil"/>
          <w:left w:val="nil"/>
          <w:bottom w:val="nil"/>
          <w:right w:val="nil"/>
          <w:between w:val="nil"/>
        </w:pBdr>
        <w:rPr>
          <w:rFonts w:ascii="Calibri" w:eastAsia="Calibri" w:hAnsi="Calibri" w:cs="Calibri"/>
          <w:color w:val="000000"/>
          <w:sz w:val="24"/>
          <w:szCs w:val="24"/>
        </w:rPr>
      </w:pPr>
    </w:p>
    <w:p w:rsidR="00D63C85" w:rsidRDefault="00D63C85">
      <w:pPr>
        <w:pBdr>
          <w:top w:val="nil"/>
          <w:left w:val="nil"/>
          <w:bottom w:val="nil"/>
          <w:right w:val="nil"/>
          <w:between w:val="nil"/>
        </w:pBdr>
        <w:rPr>
          <w:rFonts w:ascii="Calibri" w:eastAsia="Calibri" w:hAnsi="Calibri" w:cs="Calibri"/>
          <w:color w:val="000000"/>
          <w:sz w:val="24"/>
          <w:szCs w:val="24"/>
        </w:rPr>
      </w:pPr>
    </w:p>
    <w:p w:rsidR="00D63C85" w:rsidRDefault="00D63C85">
      <w:pPr>
        <w:pBdr>
          <w:top w:val="nil"/>
          <w:left w:val="nil"/>
          <w:bottom w:val="nil"/>
          <w:right w:val="nil"/>
          <w:between w:val="nil"/>
        </w:pBdr>
        <w:rPr>
          <w:rFonts w:ascii="Rasa" w:eastAsia="Rasa" w:hAnsi="Rasa" w:cs="Rasa"/>
          <w:color w:val="071D49"/>
          <w:sz w:val="24"/>
          <w:szCs w:val="24"/>
        </w:rPr>
      </w:pPr>
    </w:p>
    <w:p w:rsidR="00D63C85" w:rsidRDefault="00000000">
      <w:pPr>
        <w:pBdr>
          <w:top w:val="nil"/>
          <w:left w:val="nil"/>
          <w:bottom w:val="nil"/>
          <w:right w:val="nil"/>
          <w:between w:val="nil"/>
        </w:pBdr>
        <w:rPr>
          <w:rFonts w:ascii="Rasa" w:eastAsia="Rasa" w:hAnsi="Rasa" w:cs="Rasa"/>
          <w:color w:val="071D49"/>
          <w:sz w:val="24"/>
          <w:szCs w:val="24"/>
        </w:rPr>
      </w:pPr>
      <w:r>
        <w:rPr>
          <w:noProof/>
        </w:rPr>
        <w:drawing>
          <wp:anchor distT="0" distB="0" distL="0" distR="0" simplePos="0" relativeHeight="251658240" behindDoc="1" locked="0" layoutInCell="1" hidden="0" allowOverlap="1">
            <wp:simplePos x="0" y="0"/>
            <wp:positionH relativeFrom="column">
              <wp:posOffset>-982343</wp:posOffset>
            </wp:positionH>
            <wp:positionV relativeFrom="paragraph">
              <wp:posOffset>-1395094</wp:posOffset>
            </wp:positionV>
            <wp:extent cx="7578090" cy="155448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578090" cy="1554480"/>
                    </a:xfrm>
                    <a:prstGeom prst="rect">
                      <a:avLst/>
                    </a:prstGeom>
                    <a:ln/>
                  </pic:spPr>
                </pic:pic>
              </a:graphicData>
            </a:graphic>
          </wp:anchor>
        </w:drawing>
      </w:r>
    </w:p>
    <w:p w:rsidR="00D63C85" w:rsidRDefault="00000000">
      <w:pPr>
        <w:pBdr>
          <w:top w:val="nil"/>
          <w:left w:val="nil"/>
          <w:bottom w:val="nil"/>
          <w:right w:val="nil"/>
          <w:between w:val="nil"/>
        </w:pBdr>
        <w:rPr>
          <w:rFonts w:ascii="Calibri" w:eastAsia="Calibri" w:hAnsi="Calibri" w:cs="Calibri"/>
          <w:color w:val="000000"/>
          <w:sz w:val="24"/>
          <w:szCs w:val="24"/>
        </w:rPr>
      </w:pPr>
      <w:r>
        <w:rPr>
          <w:rFonts w:ascii="Rasa" w:eastAsia="Rasa" w:hAnsi="Rasa" w:cs="Rasa"/>
          <w:color w:val="071D49"/>
          <w:sz w:val="24"/>
          <w:szCs w:val="24"/>
        </w:rPr>
        <w:t>Comunicato stampa</w:t>
      </w:r>
    </w:p>
    <w:p w:rsidR="00D63C85" w:rsidRDefault="00D63C85">
      <w:pPr>
        <w:pBdr>
          <w:top w:val="nil"/>
          <w:left w:val="nil"/>
          <w:bottom w:val="nil"/>
          <w:right w:val="nil"/>
          <w:between w:val="nil"/>
        </w:pBdr>
        <w:jc w:val="center"/>
        <w:rPr>
          <w:rFonts w:ascii="Calibri" w:eastAsia="Calibri" w:hAnsi="Calibri" w:cs="Calibri"/>
          <w:color w:val="000000"/>
          <w:sz w:val="32"/>
          <w:szCs w:val="32"/>
        </w:rPr>
      </w:pPr>
    </w:p>
    <w:p w:rsidR="00D63C85" w:rsidRDefault="00000000">
      <w:pPr>
        <w:pBdr>
          <w:top w:val="nil"/>
          <w:left w:val="nil"/>
          <w:bottom w:val="nil"/>
          <w:right w:val="nil"/>
          <w:between w:val="nil"/>
        </w:pBdr>
        <w:jc w:val="center"/>
        <w:rPr>
          <w:rFonts w:ascii="Calibri" w:eastAsia="Calibri" w:hAnsi="Calibri" w:cs="Calibri"/>
          <w:color w:val="000000"/>
          <w:sz w:val="32"/>
          <w:szCs w:val="32"/>
        </w:rPr>
      </w:pPr>
      <w:r>
        <w:rPr>
          <w:rFonts w:ascii="Calibri" w:eastAsia="Calibri" w:hAnsi="Calibri" w:cs="Calibri"/>
          <w:b/>
          <w:color w:val="000000"/>
          <w:sz w:val="32"/>
          <w:szCs w:val="32"/>
        </w:rPr>
        <w:t>Tripoli (Unioncamere): la PA vuole e deve innovarsi</w:t>
      </w:r>
    </w:p>
    <w:p w:rsidR="00D63C85" w:rsidRDefault="00D63C85">
      <w:pPr>
        <w:pBdr>
          <w:top w:val="nil"/>
          <w:left w:val="nil"/>
          <w:bottom w:val="nil"/>
          <w:right w:val="nil"/>
          <w:between w:val="nil"/>
        </w:pBdr>
        <w:jc w:val="center"/>
        <w:rPr>
          <w:rFonts w:ascii="Calibri" w:eastAsia="Calibri" w:hAnsi="Calibri" w:cs="Calibri"/>
          <w:color w:val="000000"/>
          <w:sz w:val="32"/>
          <w:szCs w:val="32"/>
        </w:rPr>
      </w:pPr>
    </w:p>
    <w:p w:rsidR="00D63C85" w:rsidRDefault="00000000">
      <w:pPr>
        <w:pBdr>
          <w:top w:val="nil"/>
          <w:left w:val="nil"/>
          <w:bottom w:val="nil"/>
          <w:right w:val="nil"/>
          <w:between w:val="nil"/>
        </w:pBdr>
        <w:jc w:val="center"/>
        <w:rPr>
          <w:rFonts w:ascii="Calibri" w:eastAsia="Calibri" w:hAnsi="Calibri" w:cs="Calibri"/>
          <w:color w:val="000000"/>
          <w:sz w:val="32"/>
          <w:szCs w:val="32"/>
        </w:rPr>
      </w:pPr>
      <w:r>
        <w:rPr>
          <w:rFonts w:ascii="Calibri" w:eastAsia="Calibri" w:hAnsi="Calibri" w:cs="Calibri"/>
          <w:i/>
          <w:color w:val="000000"/>
          <w:sz w:val="32"/>
          <w:szCs w:val="32"/>
        </w:rPr>
        <w:t>Attese quasi 900mila assunzioni entro il 2028, 3 su 4 per laureati</w:t>
      </w:r>
    </w:p>
    <w:p w:rsidR="00D63C85" w:rsidRDefault="00D63C85">
      <w:pPr>
        <w:pBdr>
          <w:top w:val="nil"/>
          <w:left w:val="nil"/>
          <w:bottom w:val="nil"/>
          <w:right w:val="nil"/>
          <w:between w:val="nil"/>
        </w:pBdr>
        <w:jc w:val="both"/>
        <w:rPr>
          <w:rFonts w:ascii="Calibri" w:eastAsia="Calibri" w:hAnsi="Calibri" w:cs="Calibri"/>
          <w:color w:val="000000"/>
          <w:sz w:val="32"/>
          <w:szCs w:val="32"/>
        </w:rPr>
      </w:pPr>
    </w:p>
    <w:p w:rsidR="00D63C85" w:rsidRDefault="00000000">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Roma, 22 agosto 2024 – Sottodimensionata rispetto ad altri Paesi europei, anziana, con meno della metà dei propri lavoratori laureati. </w:t>
      </w:r>
      <w:proofErr w:type="gramStart"/>
      <w:r>
        <w:rPr>
          <w:rFonts w:ascii="Calibri" w:eastAsia="Calibri" w:hAnsi="Calibri" w:cs="Calibri"/>
          <w:color w:val="000000"/>
          <w:sz w:val="24"/>
          <w:szCs w:val="24"/>
        </w:rPr>
        <w:t>E’</w:t>
      </w:r>
      <w:proofErr w:type="gramEnd"/>
      <w:r>
        <w:rPr>
          <w:rFonts w:ascii="Calibri" w:eastAsia="Calibri" w:hAnsi="Calibri" w:cs="Calibri"/>
          <w:color w:val="000000"/>
          <w:sz w:val="24"/>
          <w:szCs w:val="24"/>
        </w:rPr>
        <w:t xml:space="preserve"> il ritratto della pubblica amministrazione italiana che emerge da diverse fonti ufficiali. Eppure, nel nostro Paese, di una PA snella, innovativa e capace di affrontare la sfida dell’attuazione del PNRR c’è davvero bisogno. Lo dimostra l’ultima previsione a medio termine del </w:t>
      </w:r>
      <w:r>
        <w:rPr>
          <w:rFonts w:ascii="Calibri" w:eastAsia="Calibri" w:hAnsi="Calibri" w:cs="Calibri"/>
          <w:i/>
          <w:color w:val="000000"/>
          <w:sz w:val="24"/>
          <w:szCs w:val="24"/>
        </w:rPr>
        <w:t>Sistema informativo Excelsior</w:t>
      </w:r>
      <w:r>
        <w:rPr>
          <w:rFonts w:ascii="Calibri" w:eastAsia="Calibri" w:hAnsi="Calibri" w:cs="Calibri"/>
          <w:color w:val="000000"/>
          <w:sz w:val="24"/>
          <w:szCs w:val="24"/>
        </w:rPr>
        <w:t xml:space="preserve"> di </w:t>
      </w:r>
      <w:r>
        <w:rPr>
          <w:rFonts w:ascii="Calibri" w:eastAsia="Calibri" w:hAnsi="Calibri" w:cs="Calibri"/>
          <w:b/>
          <w:color w:val="000000"/>
          <w:sz w:val="24"/>
          <w:szCs w:val="24"/>
        </w:rPr>
        <w:t>Unioncamere</w:t>
      </w:r>
      <w:r>
        <w:rPr>
          <w:rFonts w:ascii="Calibri" w:eastAsia="Calibri" w:hAnsi="Calibri" w:cs="Calibri"/>
          <w:color w:val="000000"/>
          <w:sz w:val="24"/>
          <w:szCs w:val="24"/>
        </w:rPr>
        <w:t xml:space="preserve"> e </w:t>
      </w:r>
      <w:r>
        <w:rPr>
          <w:rFonts w:ascii="Calibri" w:eastAsia="Calibri" w:hAnsi="Calibri" w:cs="Calibri"/>
          <w:b/>
          <w:color w:val="000000"/>
          <w:sz w:val="24"/>
          <w:szCs w:val="24"/>
        </w:rPr>
        <w:t>Ministero del Lavoro</w:t>
      </w:r>
      <w:r>
        <w:rPr>
          <w:rFonts w:ascii="Calibri" w:eastAsia="Calibri" w:hAnsi="Calibri" w:cs="Calibri"/>
          <w:color w:val="000000"/>
          <w:sz w:val="24"/>
          <w:szCs w:val="24"/>
        </w:rPr>
        <w:t xml:space="preserve">, citata oggi al </w:t>
      </w:r>
      <w:r>
        <w:rPr>
          <w:rFonts w:ascii="Calibri" w:eastAsia="Calibri" w:hAnsi="Calibri" w:cs="Calibri"/>
          <w:i/>
          <w:color w:val="000000"/>
          <w:sz w:val="24"/>
          <w:szCs w:val="24"/>
        </w:rPr>
        <w:t>Meeting di Rimini</w:t>
      </w:r>
      <w:r>
        <w:rPr>
          <w:rFonts w:ascii="Calibri" w:eastAsia="Calibri" w:hAnsi="Calibri" w:cs="Calibri"/>
          <w:color w:val="000000"/>
          <w:sz w:val="24"/>
          <w:szCs w:val="24"/>
        </w:rPr>
        <w:t xml:space="preserve"> dal segretario generale di Unioncamere, </w:t>
      </w:r>
      <w:r>
        <w:rPr>
          <w:rFonts w:ascii="Calibri" w:eastAsia="Calibri" w:hAnsi="Calibri" w:cs="Calibri"/>
          <w:b/>
          <w:color w:val="000000"/>
          <w:sz w:val="24"/>
          <w:szCs w:val="24"/>
        </w:rPr>
        <w:t>Giuseppe Tripoli</w:t>
      </w:r>
      <w:r>
        <w:rPr>
          <w:rFonts w:ascii="Calibri" w:eastAsia="Calibri" w:hAnsi="Calibri" w:cs="Calibri"/>
          <w:color w:val="000000"/>
          <w:sz w:val="24"/>
          <w:szCs w:val="24"/>
        </w:rPr>
        <w:t xml:space="preserve">. </w:t>
      </w:r>
    </w:p>
    <w:p w:rsidR="00D63C85" w:rsidRDefault="00D63C85">
      <w:pPr>
        <w:pBdr>
          <w:top w:val="nil"/>
          <w:left w:val="nil"/>
          <w:bottom w:val="nil"/>
          <w:right w:val="nil"/>
          <w:between w:val="nil"/>
        </w:pBdr>
        <w:jc w:val="both"/>
        <w:rPr>
          <w:rFonts w:ascii="Calibri" w:eastAsia="Calibri" w:hAnsi="Calibri" w:cs="Calibri"/>
          <w:color w:val="000000"/>
          <w:sz w:val="24"/>
          <w:szCs w:val="24"/>
        </w:rPr>
      </w:pPr>
      <w:bookmarkStart w:id="0" w:name="_gjdgxs" w:colFirst="0" w:colLast="0"/>
      <w:bookmarkEnd w:id="0"/>
    </w:p>
    <w:p w:rsidR="00D63C85" w:rsidRDefault="00000000">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Tra il 2024 e il 2028 – ha detto Tripoli – il fabbisogno complessivo di personale del settore pubblico è stimato in 846mila unità; di queste, il 91% sarà destinato alla sostituzione di personale, coinvolgendo quasi 774mila dipendenti nel quinquennio, con una media di 155mila unità all’anno. Si prevede pertanto un aumento dello stock di dipendenti pubblici di 73mila occupati rispetto al 2023.</w:t>
      </w:r>
    </w:p>
    <w:p w:rsidR="00D63C85" w:rsidRDefault="00D63C85">
      <w:pPr>
        <w:pBdr>
          <w:top w:val="nil"/>
          <w:left w:val="nil"/>
          <w:bottom w:val="nil"/>
          <w:right w:val="nil"/>
          <w:between w:val="nil"/>
        </w:pBdr>
        <w:jc w:val="both"/>
        <w:rPr>
          <w:rFonts w:ascii="Calibri" w:eastAsia="Calibri" w:hAnsi="Calibri" w:cs="Calibri"/>
          <w:color w:val="000000"/>
          <w:sz w:val="24"/>
          <w:szCs w:val="24"/>
        </w:rPr>
      </w:pPr>
    </w:p>
    <w:p w:rsidR="00D63C85" w:rsidRDefault="00000000">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i/>
          <w:color w:val="000000"/>
          <w:sz w:val="24"/>
          <w:szCs w:val="24"/>
        </w:rPr>
        <w:t>Digitalizzazione dei servizi e Intelligenza artificiale sono due frontiere essenziali per rendere efficiente la pubblica amministrazione, ridurre tempi e costi e semplificare le procedure</w:t>
      </w:r>
      <w:r>
        <w:rPr>
          <w:rFonts w:ascii="Calibri" w:eastAsia="Calibri" w:hAnsi="Calibri" w:cs="Calibri"/>
          <w:color w:val="000000"/>
          <w:sz w:val="24"/>
          <w:szCs w:val="24"/>
        </w:rPr>
        <w:t xml:space="preserve">, ha sottolineato il </w:t>
      </w:r>
      <w:r>
        <w:rPr>
          <w:rFonts w:ascii="Calibri" w:eastAsia="Calibri" w:hAnsi="Calibri" w:cs="Calibri"/>
          <w:b/>
          <w:color w:val="000000"/>
          <w:sz w:val="24"/>
          <w:szCs w:val="24"/>
        </w:rPr>
        <w:t>segretario generale di Unioncamere, Giuseppe Tripoli</w:t>
      </w:r>
      <w:r>
        <w:rPr>
          <w:rFonts w:ascii="Calibri" w:eastAsia="Calibri" w:hAnsi="Calibri" w:cs="Calibri"/>
          <w:color w:val="000000"/>
          <w:sz w:val="24"/>
          <w:szCs w:val="24"/>
        </w:rPr>
        <w:t>. “</w:t>
      </w:r>
      <w:r>
        <w:rPr>
          <w:rFonts w:ascii="Calibri" w:eastAsia="Calibri" w:hAnsi="Calibri" w:cs="Calibri"/>
          <w:i/>
          <w:color w:val="000000"/>
          <w:sz w:val="24"/>
          <w:szCs w:val="24"/>
        </w:rPr>
        <w:t>Ma soprattutto occorre investire di più sul personale della PA. Fortunatamente qualcosa si è mosso negli ultimi anni.</w:t>
      </w:r>
      <w:r>
        <w:rPr>
          <w:rFonts w:ascii="Calibri" w:eastAsia="Calibri" w:hAnsi="Calibri" w:cs="Calibri"/>
          <w:color w:val="000000"/>
          <w:sz w:val="24"/>
          <w:szCs w:val="24"/>
        </w:rPr>
        <w:t xml:space="preserve"> </w:t>
      </w:r>
      <w:r>
        <w:rPr>
          <w:rFonts w:ascii="Calibri" w:eastAsia="Calibri" w:hAnsi="Calibri" w:cs="Calibri"/>
          <w:i/>
          <w:color w:val="000000"/>
          <w:sz w:val="24"/>
          <w:szCs w:val="24"/>
        </w:rPr>
        <w:t>Entro il 2028, oltre il 37% del fabbisogno del settore pubblico sarà di figure qualificate e ad elevata specializzazione e la domanda di personale in possesso di un titolo di formazione terziaria riguarderà il 76% del fabbisogno totale. Quello della PA è uno dei cantieri di lavoro più importanti per far crescere la produttività del Paese. Inoltre anche il recente decreto sui controlli si muove nella direzione giusta auspicata dalle imprese</w:t>
      </w:r>
      <w:r>
        <w:rPr>
          <w:rFonts w:ascii="Calibri" w:eastAsia="Calibri" w:hAnsi="Calibri" w:cs="Calibri"/>
          <w:color w:val="000000"/>
          <w:sz w:val="24"/>
          <w:szCs w:val="24"/>
        </w:rPr>
        <w:t xml:space="preserve">”. </w:t>
      </w:r>
    </w:p>
    <w:p w:rsidR="00D63C85" w:rsidRDefault="00000000">
      <w:pPr>
        <w:pBdr>
          <w:top w:val="nil"/>
          <w:left w:val="nil"/>
          <w:bottom w:val="nil"/>
          <w:right w:val="nil"/>
          <w:between w:val="nil"/>
        </w:pBdr>
        <w:spacing w:before="240"/>
        <w:jc w:val="both"/>
        <w:rPr>
          <w:rFonts w:ascii="Calibri" w:eastAsia="Calibri" w:hAnsi="Calibri" w:cs="Calibri"/>
          <w:color w:val="000000"/>
          <w:sz w:val="24"/>
          <w:szCs w:val="24"/>
        </w:rPr>
      </w:pPr>
      <w:proofErr w:type="spellStart"/>
      <w:r>
        <w:rPr>
          <w:rFonts w:ascii="Calibri" w:eastAsia="Calibri" w:hAnsi="Calibri" w:cs="Calibri"/>
          <w:color w:val="000000"/>
          <w:sz w:val="24"/>
          <w:szCs w:val="24"/>
        </w:rPr>
        <w:t>L’</w:t>
      </w:r>
      <w:r>
        <w:rPr>
          <w:rFonts w:ascii="Calibri" w:eastAsia="Calibri" w:hAnsi="Calibri" w:cs="Calibri"/>
          <w:i/>
          <w:color w:val="000000"/>
          <w:sz w:val="24"/>
          <w:szCs w:val="24"/>
        </w:rPr>
        <w:t>expansion</w:t>
      </w:r>
      <w:proofErr w:type="spellEnd"/>
      <w:r>
        <w:rPr>
          <w:rFonts w:ascii="Calibri" w:eastAsia="Calibri" w:hAnsi="Calibri" w:cs="Calibri"/>
          <w:color w:val="000000"/>
          <w:sz w:val="24"/>
          <w:szCs w:val="24"/>
        </w:rPr>
        <w:t xml:space="preserve"> occupazionale prevista interesserà diversi comparti. In particolare, il 40% delle nuove assunzioni è</w:t>
      </w:r>
      <w:r w:rsidR="00685BEF">
        <w:rPr>
          <w:rFonts w:ascii="Calibri" w:eastAsia="Calibri" w:hAnsi="Calibri" w:cs="Calibri"/>
          <w:color w:val="000000"/>
          <w:sz w:val="24"/>
          <w:szCs w:val="24"/>
        </w:rPr>
        <w:t xml:space="preserve"> </w:t>
      </w:r>
      <w:r>
        <w:rPr>
          <w:rFonts w:ascii="Calibri" w:eastAsia="Calibri" w:hAnsi="Calibri" w:cs="Calibri"/>
          <w:color w:val="000000"/>
          <w:sz w:val="24"/>
          <w:szCs w:val="24"/>
        </w:rPr>
        <w:t>atteso nel comparto dei servizi generali e dell’assistenza sociale obbligatoria, con un incremento di poco più di 29mila unità. I comparti sanitario e dell'istruzione contribuiranno ciascuno per circa il 30% di questo aumento, con quasi 22mila nuove assunzioni in entrambi i comparti.</w:t>
      </w:r>
    </w:p>
    <w:p w:rsidR="00D63C85" w:rsidRDefault="00000000">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L’analisi dei fabbisogni dei dipendenti pubblici per macro-gruppo professionale evidenzia la prevalente richiesta di figure qualificate e ad elevata specializzazione, che rappresentano oltre il 37% del fabbisogno del settore pubblico nel periodo 2024-2028. Seguono le figure tecniche e gli impiegati, entrambi con un peso del 22%. </w:t>
      </w:r>
    </w:p>
    <w:p w:rsidR="00D63C85" w:rsidRDefault="00000000">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Circa 646mila dipendenti pubblici in ingresso saranno in possesso di una formazione terziaria (il 76% del totale), 159mila profili avranno una formazione secondaria di secondo grado tecnico-professionale, mentre 41mila unità saranno diplomati dei licei. </w:t>
      </w:r>
    </w:p>
    <w:p w:rsidR="00D63C85" w:rsidRDefault="00D63C85">
      <w:pPr>
        <w:pBdr>
          <w:top w:val="nil"/>
          <w:left w:val="nil"/>
          <w:bottom w:val="nil"/>
          <w:right w:val="nil"/>
          <w:between w:val="nil"/>
        </w:pBdr>
        <w:jc w:val="both"/>
        <w:rPr>
          <w:color w:val="000000"/>
          <w:sz w:val="24"/>
          <w:szCs w:val="24"/>
        </w:rPr>
      </w:pPr>
    </w:p>
    <w:p w:rsidR="008013CE" w:rsidRDefault="008013CE">
      <w:pPr>
        <w:pBdr>
          <w:top w:val="nil"/>
          <w:left w:val="nil"/>
          <w:bottom w:val="nil"/>
          <w:right w:val="nil"/>
          <w:between w:val="nil"/>
        </w:pBdr>
        <w:jc w:val="both"/>
        <w:rPr>
          <w:color w:val="000000"/>
          <w:sz w:val="24"/>
          <w:szCs w:val="24"/>
        </w:rPr>
      </w:pPr>
    </w:p>
    <w:p w:rsidR="00D63C85" w:rsidRDefault="00000000">
      <w:pPr>
        <w:pBdr>
          <w:top w:val="nil"/>
          <w:left w:val="nil"/>
          <w:bottom w:val="nil"/>
          <w:right w:val="nil"/>
          <w:between w:val="nil"/>
        </w:pBdr>
        <w:jc w:val="both"/>
        <w:rPr>
          <w:rFonts w:ascii="Calibri" w:eastAsia="Calibri" w:hAnsi="Calibri" w:cs="Calibri"/>
          <w:b/>
          <w:color w:val="404040"/>
        </w:rPr>
      </w:pPr>
      <w:r>
        <w:rPr>
          <w:rFonts w:ascii="Calibri" w:eastAsia="Calibri" w:hAnsi="Calibri" w:cs="Calibri"/>
          <w:b/>
          <w:color w:val="404040"/>
        </w:rPr>
        <w:t xml:space="preserve">Fabbisogni, </w:t>
      </w:r>
      <w:proofErr w:type="spellStart"/>
      <w:r>
        <w:rPr>
          <w:rFonts w:ascii="Calibri" w:eastAsia="Calibri" w:hAnsi="Calibri" w:cs="Calibri"/>
          <w:b/>
          <w:color w:val="404040"/>
        </w:rPr>
        <w:t>replacement</w:t>
      </w:r>
      <w:proofErr w:type="spellEnd"/>
      <w:r>
        <w:rPr>
          <w:rFonts w:ascii="Calibri" w:eastAsia="Calibri" w:hAnsi="Calibri" w:cs="Calibri"/>
          <w:b/>
          <w:color w:val="404040"/>
        </w:rPr>
        <w:t xml:space="preserve"> ed </w:t>
      </w:r>
      <w:proofErr w:type="spellStart"/>
      <w:r>
        <w:rPr>
          <w:rFonts w:ascii="Calibri" w:eastAsia="Calibri" w:hAnsi="Calibri" w:cs="Calibri"/>
          <w:b/>
          <w:color w:val="404040"/>
        </w:rPr>
        <w:t>expansion</w:t>
      </w:r>
      <w:proofErr w:type="spellEnd"/>
      <w:r>
        <w:rPr>
          <w:rFonts w:ascii="Calibri" w:eastAsia="Calibri" w:hAnsi="Calibri" w:cs="Calibri"/>
          <w:b/>
          <w:color w:val="404040"/>
        </w:rPr>
        <w:t xml:space="preserve"> demand di dipendenti pubblici previsti nel periodo 2024-2028 </w:t>
      </w:r>
    </w:p>
    <w:tbl>
      <w:tblPr>
        <w:tblStyle w:val="a"/>
        <w:tblW w:w="9160" w:type="dxa"/>
        <w:tblInd w:w="-108" w:type="dxa"/>
        <w:tblBorders>
          <w:top w:val="single" w:sz="4" w:space="0" w:color="02AEEF"/>
          <w:left w:val="single" w:sz="4" w:space="0" w:color="02AEEF"/>
          <w:bottom w:val="single" w:sz="4" w:space="0" w:color="02AEEF"/>
          <w:right w:val="single" w:sz="4" w:space="0" w:color="02AEEF"/>
          <w:insideH w:val="nil"/>
          <w:insideV w:val="nil"/>
        </w:tblBorders>
        <w:tblLayout w:type="fixed"/>
        <w:tblLook w:val="0000" w:firstRow="0" w:lastRow="0" w:firstColumn="0" w:lastColumn="0" w:noHBand="0" w:noVBand="0"/>
      </w:tblPr>
      <w:tblGrid>
        <w:gridCol w:w="4600"/>
        <w:gridCol w:w="1660"/>
        <w:gridCol w:w="1660"/>
        <w:gridCol w:w="1240"/>
      </w:tblGrid>
      <w:tr w:rsidR="00D63C85">
        <w:trPr>
          <w:trHeight w:val="409"/>
        </w:trPr>
        <w:tc>
          <w:tcPr>
            <w:tcW w:w="4600" w:type="dxa"/>
            <w:shd w:val="clear" w:color="auto" w:fill="02AEEF"/>
          </w:tcPr>
          <w:p w:rsidR="00D63C85" w:rsidRDefault="00000000">
            <w:pPr>
              <w:pBdr>
                <w:top w:val="nil"/>
                <w:left w:val="nil"/>
                <w:bottom w:val="nil"/>
                <w:right w:val="nil"/>
                <w:between w:val="nil"/>
              </w:pBdr>
              <w:rPr>
                <w:rFonts w:ascii="Calibri" w:eastAsia="Calibri" w:hAnsi="Calibri" w:cs="Calibri"/>
                <w:color w:val="FFFFFF"/>
                <w:sz w:val="18"/>
                <w:szCs w:val="18"/>
              </w:rPr>
            </w:pPr>
            <w:r>
              <w:rPr>
                <w:rFonts w:ascii="Calibri" w:eastAsia="Calibri" w:hAnsi="Calibri" w:cs="Calibri"/>
                <w:b/>
                <w:color w:val="FFFFFF"/>
                <w:sz w:val="18"/>
                <w:szCs w:val="18"/>
              </w:rPr>
              <w:t> </w:t>
            </w:r>
          </w:p>
        </w:tc>
        <w:tc>
          <w:tcPr>
            <w:tcW w:w="1660" w:type="dxa"/>
            <w:shd w:val="clear" w:color="auto" w:fill="02AEEF"/>
            <w:vAlign w:val="center"/>
          </w:tcPr>
          <w:p w:rsidR="00D63C85" w:rsidRDefault="00000000">
            <w:pPr>
              <w:pBdr>
                <w:top w:val="nil"/>
                <w:left w:val="nil"/>
                <w:bottom w:val="nil"/>
                <w:right w:val="nil"/>
                <w:between w:val="nil"/>
              </w:pBdr>
              <w:jc w:val="right"/>
              <w:rPr>
                <w:rFonts w:ascii="Calibri" w:eastAsia="Calibri" w:hAnsi="Calibri" w:cs="Calibri"/>
                <w:color w:val="FFFFFF"/>
                <w:sz w:val="18"/>
                <w:szCs w:val="18"/>
              </w:rPr>
            </w:pPr>
            <w:r>
              <w:rPr>
                <w:rFonts w:ascii="Calibri" w:eastAsia="Calibri" w:hAnsi="Calibri" w:cs="Calibri"/>
                <w:b/>
                <w:color w:val="FFFFFF"/>
                <w:sz w:val="18"/>
                <w:szCs w:val="18"/>
              </w:rPr>
              <w:t>Expansion</w:t>
            </w:r>
          </w:p>
        </w:tc>
        <w:tc>
          <w:tcPr>
            <w:tcW w:w="1660" w:type="dxa"/>
            <w:shd w:val="clear" w:color="auto" w:fill="02AEEF"/>
            <w:vAlign w:val="center"/>
          </w:tcPr>
          <w:p w:rsidR="00D63C85" w:rsidRDefault="00000000">
            <w:pPr>
              <w:pBdr>
                <w:top w:val="nil"/>
                <w:left w:val="nil"/>
                <w:bottom w:val="nil"/>
                <w:right w:val="nil"/>
                <w:between w:val="nil"/>
              </w:pBdr>
              <w:jc w:val="right"/>
              <w:rPr>
                <w:rFonts w:ascii="Calibri" w:eastAsia="Calibri" w:hAnsi="Calibri" w:cs="Calibri"/>
                <w:color w:val="FFFFFF"/>
                <w:sz w:val="18"/>
                <w:szCs w:val="18"/>
              </w:rPr>
            </w:pPr>
            <w:proofErr w:type="spellStart"/>
            <w:r>
              <w:rPr>
                <w:rFonts w:ascii="Calibri" w:eastAsia="Calibri" w:hAnsi="Calibri" w:cs="Calibri"/>
                <w:b/>
                <w:color w:val="FFFFFF"/>
                <w:sz w:val="18"/>
                <w:szCs w:val="18"/>
              </w:rPr>
              <w:t>Replacement</w:t>
            </w:r>
            <w:proofErr w:type="spellEnd"/>
          </w:p>
        </w:tc>
        <w:tc>
          <w:tcPr>
            <w:tcW w:w="1240" w:type="dxa"/>
            <w:shd w:val="clear" w:color="auto" w:fill="02AEEF"/>
            <w:vAlign w:val="center"/>
          </w:tcPr>
          <w:p w:rsidR="00D63C85" w:rsidRDefault="00000000">
            <w:pPr>
              <w:pBdr>
                <w:top w:val="nil"/>
                <w:left w:val="nil"/>
                <w:bottom w:val="nil"/>
                <w:right w:val="nil"/>
                <w:between w:val="nil"/>
              </w:pBdr>
              <w:jc w:val="right"/>
              <w:rPr>
                <w:rFonts w:ascii="Calibri" w:eastAsia="Calibri" w:hAnsi="Calibri" w:cs="Calibri"/>
                <w:color w:val="FFFFFF"/>
                <w:sz w:val="18"/>
                <w:szCs w:val="18"/>
              </w:rPr>
            </w:pPr>
            <w:r>
              <w:rPr>
                <w:rFonts w:ascii="Calibri" w:eastAsia="Calibri" w:hAnsi="Calibri" w:cs="Calibri"/>
                <w:b/>
                <w:color w:val="FFFFFF"/>
                <w:sz w:val="18"/>
                <w:szCs w:val="18"/>
              </w:rPr>
              <w:t>Fabbisogni</w:t>
            </w:r>
          </w:p>
        </w:tc>
      </w:tr>
      <w:tr w:rsidR="00D63C85">
        <w:trPr>
          <w:trHeight w:val="20"/>
        </w:trPr>
        <w:tc>
          <w:tcPr>
            <w:tcW w:w="4600" w:type="dxa"/>
          </w:tcPr>
          <w:p w:rsidR="00D63C85" w:rsidRDefault="00000000">
            <w:pPr>
              <w:pBdr>
                <w:top w:val="nil"/>
                <w:left w:val="nil"/>
                <w:bottom w:val="nil"/>
                <w:right w:val="nil"/>
                <w:between w:val="nil"/>
              </w:pBdr>
              <w:rPr>
                <w:rFonts w:ascii="Calibri" w:eastAsia="Calibri" w:hAnsi="Calibri" w:cs="Calibri"/>
                <w:color w:val="00AEEF"/>
                <w:sz w:val="18"/>
                <w:szCs w:val="18"/>
              </w:rPr>
            </w:pPr>
            <w:r>
              <w:rPr>
                <w:rFonts w:ascii="Calibri" w:eastAsia="Calibri" w:hAnsi="Calibri" w:cs="Calibri"/>
                <w:b/>
                <w:color w:val="00AEEF"/>
                <w:sz w:val="18"/>
                <w:szCs w:val="18"/>
              </w:rPr>
              <w:t>Totale</w:t>
            </w:r>
          </w:p>
        </w:tc>
        <w:tc>
          <w:tcPr>
            <w:tcW w:w="1660"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AEEF"/>
                <w:sz w:val="18"/>
                <w:szCs w:val="18"/>
              </w:rPr>
            </w:pPr>
            <w:r>
              <w:rPr>
                <w:rFonts w:ascii="Calibri" w:eastAsia="Calibri" w:hAnsi="Calibri" w:cs="Calibri"/>
                <w:b/>
                <w:color w:val="00AEEF"/>
                <w:sz w:val="18"/>
                <w:szCs w:val="18"/>
              </w:rPr>
              <w:t>72.900</w:t>
            </w:r>
          </w:p>
        </w:tc>
        <w:tc>
          <w:tcPr>
            <w:tcW w:w="1660"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AEEF"/>
                <w:sz w:val="18"/>
                <w:szCs w:val="18"/>
              </w:rPr>
            </w:pPr>
            <w:r>
              <w:rPr>
                <w:rFonts w:ascii="Calibri" w:eastAsia="Calibri" w:hAnsi="Calibri" w:cs="Calibri"/>
                <w:b/>
                <w:color w:val="00AEEF"/>
                <w:sz w:val="18"/>
                <w:szCs w:val="18"/>
              </w:rPr>
              <w:t>773.600</w:t>
            </w:r>
          </w:p>
        </w:tc>
        <w:tc>
          <w:tcPr>
            <w:tcW w:w="1240" w:type="dxa"/>
            <w:tcBorders>
              <w:top w:val="nil"/>
              <w:left w:val="nil"/>
              <w:bottom w:val="nil"/>
              <w:right w:val="single" w:sz="8" w:space="0" w:color="00B0F0"/>
            </w:tcBorders>
            <w:vAlign w:val="center"/>
          </w:tcPr>
          <w:p w:rsidR="00D63C85" w:rsidRDefault="00000000">
            <w:pPr>
              <w:pBdr>
                <w:top w:val="nil"/>
                <w:left w:val="nil"/>
                <w:bottom w:val="nil"/>
                <w:right w:val="nil"/>
                <w:between w:val="nil"/>
              </w:pBdr>
              <w:jc w:val="right"/>
              <w:rPr>
                <w:rFonts w:ascii="Calibri" w:eastAsia="Calibri" w:hAnsi="Calibri" w:cs="Calibri"/>
                <w:color w:val="00AEEF"/>
                <w:sz w:val="18"/>
                <w:szCs w:val="18"/>
              </w:rPr>
            </w:pPr>
            <w:r>
              <w:rPr>
                <w:rFonts w:ascii="Calibri" w:eastAsia="Calibri" w:hAnsi="Calibri" w:cs="Calibri"/>
                <w:b/>
                <w:color w:val="00AEEF"/>
                <w:sz w:val="18"/>
                <w:szCs w:val="18"/>
              </w:rPr>
              <w:t>846.400</w:t>
            </w:r>
          </w:p>
        </w:tc>
      </w:tr>
      <w:tr w:rsidR="00D63C85">
        <w:trPr>
          <w:trHeight w:val="20"/>
        </w:trPr>
        <w:tc>
          <w:tcPr>
            <w:tcW w:w="4600" w:type="dxa"/>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Istruzione e servizi formativi pubblici</w:t>
            </w:r>
          </w:p>
        </w:tc>
        <w:tc>
          <w:tcPr>
            <w:tcW w:w="1660"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21.600</w:t>
            </w:r>
          </w:p>
        </w:tc>
        <w:tc>
          <w:tcPr>
            <w:tcW w:w="1660"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228.900</w:t>
            </w:r>
          </w:p>
        </w:tc>
        <w:tc>
          <w:tcPr>
            <w:tcW w:w="1240" w:type="dxa"/>
            <w:tcBorders>
              <w:top w:val="nil"/>
              <w:left w:val="nil"/>
              <w:bottom w:val="nil"/>
              <w:right w:val="single" w:sz="8" w:space="0" w:color="00B0F0"/>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250.600</w:t>
            </w:r>
          </w:p>
        </w:tc>
      </w:tr>
      <w:tr w:rsidR="00D63C85">
        <w:trPr>
          <w:trHeight w:val="20"/>
        </w:trPr>
        <w:tc>
          <w:tcPr>
            <w:tcW w:w="4600" w:type="dxa"/>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Sanità, assistenza sociale e servizi sanitari pubblici</w:t>
            </w:r>
          </w:p>
        </w:tc>
        <w:tc>
          <w:tcPr>
            <w:tcW w:w="1660"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21.900</w:t>
            </w:r>
          </w:p>
        </w:tc>
        <w:tc>
          <w:tcPr>
            <w:tcW w:w="1660"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211.900</w:t>
            </w:r>
          </w:p>
        </w:tc>
        <w:tc>
          <w:tcPr>
            <w:tcW w:w="1240" w:type="dxa"/>
            <w:tcBorders>
              <w:top w:val="nil"/>
              <w:left w:val="nil"/>
              <w:bottom w:val="nil"/>
              <w:right w:val="single" w:sz="8" w:space="0" w:color="00B0F0"/>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233.900</w:t>
            </w:r>
          </w:p>
        </w:tc>
      </w:tr>
      <w:tr w:rsidR="00D63C85">
        <w:trPr>
          <w:trHeight w:val="20"/>
        </w:trPr>
        <w:tc>
          <w:tcPr>
            <w:tcW w:w="4600" w:type="dxa"/>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Servizi generali della pubblica amministrazione e assicurazione sociale obbligatoria</w:t>
            </w:r>
          </w:p>
        </w:tc>
        <w:tc>
          <w:tcPr>
            <w:tcW w:w="1660" w:type="dxa"/>
            <w:tcBorders>
              <w:top w:val="nil"/>
              <w:left w:val="nil"/>
              <w:bottom w:val="single" w:sz="8" w:space="0" w:color="00B0F0"/>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29.300</w:t>
            </w:r>
          </w:p>
        </w:tc>
        <w:tc>
          <w:tcPr>
            <w:tcW w:w="1660" w:type="dxa"/>
            <w:tcBorders>
              <w:top w:val="nil"/>
              <w:left w:val="nil"/>
              <w:bottom w:val="single" w:sz="8" w:space="0" w:color="00B0F0"/>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332.700</w:t>
            </w:r>
          </w:p>
        </w:tc>
        <w:tc>
          <w:tcPr>
            <w:tcW w:w="1240" w:type="dxa"/>
            <w:tcBorders>
              <w:top w:val="nil"/>
              <w:left w:val="nil"/>
              <w:bottom w:val="single" w:sz="8" w:space="0" w:color="00B0F0"/>
              <w:right w:val="single" w:sz="8" w:space="0" w:color="00B0F0"/>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362.000</w:t>
            </w:r>
          </w:p>
        </w:tc>
      </w:tr>
    </w:tbl>
    <w:p w:rsidR="00D63C85"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i/>
          <w:color w:val="000000"/>
          <w:sz w:val="16"/>
          <w:szCs w:val="16"/>
        </w:rPr>
        <w:t>Fonte: Unioncamere – Ministero del Lavoro e delle Politiche Sociali, Sistema Informativo Excelsior</w:t>
      </w:r>
    </w:p>
    <w:p w:rsidR="00D63C85" w:rsidRPr="008013CE" w:rsidRDefault="00D63C85">
      <w:pPr>
        <w:pBdr>
          <w:top w:val="nil"/>
          <w:left w:val="nil"/>
          <w:bottom w:val="nil"/>
          <w:right w:val="nil"/>
          <w:between w:val="nil"/>
        </w:pBdr>
        <w:jc w:val="both"/>
        <w:rPr>
          <w:color w:val="000000"/>
          <w:sz w:val="16"/>
          <w:szCs w:val="16"/>
        </w:rPr>
      </w:pPr>
    </w:p>
    <w:p w:rsidR="00D63C85" w:rsidRDefault="00000000">
      <w:pPr>
        <w:pBdr>
          <w:top w:val="nil"/>
          <w:left w:val="nil"/>
          <w:bottom w:val="nil"/>
          <w:right w:val="nil"/>
          <w:between w:val="nil"/>
        </w:pBdr>
        <w:rPr>
          <w:rFonts w:ascii="Calibri" w:eastAsia="Calibri" w:hAnsi="Calibri" w:cs="Calibri"/>
          <w:b/>
          <w:color w:val="404040"/>
        </w:rPr>
      </w:pPr>
      <w:r>
        <w:rPr>
          <w:rFonts w:ascii="Calibri" w:eastAsia="Calibri" w:hAnsi="Calibri" w:cs="Calibri"/>
          <w:b/>
          <w:color w:val="404040"/>
        </w:rPr>
        <w:t>Fabbisogni di dipendenti pubblici previsti nel 2024-2028 per grandi gruppi professionali e tipologia di formazione</w:t>
      </w:r>
    </w:p>
    <w:tbl>
      <w:tblPr>
        <w:tblStyle w:val="a0"/>
        <w:tblW w:w="9004" w:type="dxa"/>
        <w:tblInd w:w="-108" w:type="dxa"/>
        <w:tblBorders>
          <w:top w:val="single" w:sz="4" w:space="0" w:color="02AEEF"/>
          <w:left w:val="single" w:sz="4" w:space="0" w:color="02AEEF"/>
          <w:bottom w:val="single" w:sz="4" w:space="0" w:color="02AEEF"/>
          <w:right w:val="single" w:sz="4" w:space="0" w:color="02AEEF"/>
          <w:insideH w:val="nil"/>
          <w:insideV w:val="nil"/>
        </w:tblBorders>
        <w:tblLayout w:type="fixed"/>
        <w:tblLook w:val="0000" w:firstRow="0" w:lastRow="0" w:firstColumn="0" w:lastColumn="0" w:noHBand="0" w:noVBand="0"/>
      </w:tblPr>
      <w:tblGrid>
        <w:gridCol w:w="6335"/>
        <w:gridCol w:w="1408"/>
        <w:gridCol w:w="1261"/>
      </w:tblGrid>
      <w:tr w:rsidR="00D63C85">
        <w:trPr>
          <w:cantSplit/>
          <w:trHeight w:val="20"/>
        </w:trPr>
        <w:tc>
          <w:tcPr>
            <w:tcW w:w="6335" w:type="dxa"/>
            <w:vMerge w:val="restart"/>
            <w:shd w:val="clear" w:color="auto" w:fill="ED7D31"/>
          </w:tcPr>
          <w:p w:rsidR="00D63C85" w:rsidRDefault="00000000">
            <w:pPr>
              <w:pBdr>
                <w:top w:val="nil"/>
                <w:left w:val="nil"/>
                <w:bottom w:val="nil"/>
                <w:right w:val="nil"/>
                <w:between w:val="nil"/>
              </w:pBdr>
              <w:rPr>
                <w:rFonts w:ascii="Calibri" w:eastAsia="Calibri" w:hAnsi="Calibri" w:cs="Calibri"/>
                <w:color w:val="FFFFFF"/>
                <w:sz w:val="18"/>
                <w:szCs w:val="18"/>
              </w:rPr>
            </w:pPr>
            <w:r>
              <w:rPr>
                <w:rFonts w:ascii="Calibri" w:eastAsia="Calibri" w:hAnsi="Calibri" w:cs="Calibri"/>
                <w:b/>
                <w:color w:val="FFFFFF"/>
                <w:sz w:val="18"/>
                <w:szCs w:val="18"/>
              </w:rPr>
              <w:t> </w:t>
            </w:r>
          </w:p>
        </w:tc>
        <w:tc>
          <w:tcPr>
            <w:tcW w:w="2669" w:type="dxa"/>
            <w:gridSpan w:val="2"/>
            <w:tcBorders>
              <w:top w:val="single" w:sz="8" w:space="0" w:color="02AEEF"/>
              <w:bottom w:val="single" w:sz="8" w:space="0" w:color="FFFFFF"/>
              <w:right w:val="single" w:sz="8" w:space="0" w:color="02AEEF"/>
            </w:tcBorders>
            <w:shd w:val="clear" w:color="auto" w:fill="ED7D31"/>
          </w:tcPr>
          <w:p w:rsidR="00D63C85" w:rsidRDefault="00000000">
            <w:pPr>
              <w:pBdr>
                <w:top w:val="nil"/>
                <w:left w:val="nil"/>
                <w:bottom w:val="nil"/>
                <w:right w:val="nil"/>
                <w:between w:val="nil"/>
              </w:pBdr>
              <w:jc w:val="center"/>
              <w:rPr>
                <w:rFonts w:ascii="Calibri" w:eastAsia="Calibri" w:hAnsi="Calibri" w:cs="Calibri"/>
                <w:color w:val="FFFFFF"/>
                <w:sz w:val="18"/>
                <w:szCs w:val="18"/>
              </w:rPr>
            </w:pPr>
            <w:r>
              <w:rPr>
                <w:rFonts w:ascii="Calibri" w:eastAsia="Calibri" w:hAnsi="Calibri" w:cs="Calibri"/>
                <w:b/>
                <w:color w:val="FFFFFF"/>
                <w:sz w:val="18"/>
                <w:szCs w:val="18"/>
              </w:rPr>
              <w:t>Fabbisogni 2024-2028</w:t>
            </w:r>
          </w:p>
        </w:tc>
      </w:tr>
      <w:tr w:rsidR="00D63C85">
        <w:trPr>
          <w:cantSplit/>
          <w:trHeight w:val="20"/>
        </w:trPr>
        <w:tc>
          <w:tcPr>
            <w:tcW w:w="6335" w:type="dxa"/>
            <w:vMerge/>
            <w:shd w:val="clear" w:color="auto" w:fill="ED7D31"/>
          </w:tcPr>
          <w:p w:rsidR="00D63C85" w:rsidRDefault="00D63C85">
            <w:pPr>
              <w:widowControl w:val="0"/>
              <w:pBdr>
                <w:top w:val="nil"/>
                <w:left w:val="nil"/>
                <w:bottom w:val="nil"/>
                <w:right w:val="nil"/>
                <w:between w:val="nil"/>
              </w:pBdr>
              <w:spacing w:line="276" w:lineRule="auto"/>
              <w:rPr>
                <w:rFonts w:ascii="Calibri" w:eastAsia="Calibri" w:hAnsi="Calibri" w:cs="Calibri"/>
                <w:color w:val="FFFFFF"/>
                <w:sz w:val="18"/>
                <w:szCs w:val="18"/>
              </w:rPr>
            </w:pPr>
          </w:p>
        </w:tc>
        <w:tc>
          <w:tcPr>
            <w:tcW w:w="1408" w:type="dxa"/>
            <w:tcBorders>
              <w:top w:val="single" w:sz="8" w:space="0" w:color="FFFFFF"/>
            </w:tcBorders>
            <w:shd w:val="clear" w:color="auto" w:fill="ED7D31"/>
          </w:tcPr>
          <w:p w:rsidR="00D63C85" w:rsidRDefault="00000000">
            <w:pPr>
              <w:pBdr>
                <w:top w:val="nil"/>
                <w:left w:val="nil"/>
                <w:bottom w:val="nil"/>
                <w:right w:val="nil"/>
                <w:between w:val="nil"/>
              </w:pBdr>
              <w:jc w:val="right"/>
              <w:rPr>
                <w:rFonts w:ascii="Calibri" w:eastAsia="Calibri" w:hAnsi="Calibri" w:cs="Calibri"/>
                <w:color w:val="FFFFFF"/>
                <w:sz w:val="18"/>
                <w:szCs w:val="18"/>
              </w:rPr>
            </w:pPr>
            <w:r>
              <w:rPr>
                <w:rFonts w:ascii="Calibri" w:eastAsia="Calibri" w:hAnsi="Calibri" w:cs="Calibri"/>
                <w:b/>
                <w:color w:val="FFFFFF"/>
                <w:sz w:val="18"/>
                <w:szCs w:val="18"/>
              </w:rPr>
              <w:t xml:space="preserve"> (v.a.) *</w:t>
            </w:r>
          </w:p>
        </w:tc>
        <w:tc>
          <w:tcPr>
            <w:tcW w:w="1261" w:type="dxa"/>
            <w:tcBorders>
              <w:top w:val="single" w:sz="8" w:space="0" w:color="FFFFFF"/>
              <w:bottom w:val="nil"/>
              <w:right w:val="single" w:sz="8" w:space="0" w:color="02AEEF"/>
            </w:tcBorders>
            <w:shd w:val="clear" w:color="auto" w:fill="ED7D31"/>
          </w:tcPr>
          <w:p w:rsidR="00D63C85" w:rsidRDefault="00000000">
            <w:pPr>
              <w:pBdr>
                <w:top w:val="nil"/>
                <w:left w:val="nil"/>
                <w:bottom w:val="nil"/>
                <w:right w:val="nil"/>
                <w:between w:val="nil"/>
              </w:pBdr>
              <w:jc w:val="right"/>
              <w:rPr>
                <w:rFonts w:ascii="Calibri" w:eastAsia="Calibri" w:hAnsi="Calibri" w:cs="Calibri"/>
                <w:color w:val="FFFFFF"/>
                <w:sz w:val="18"/>
                <w:szCs w:val="18"/>
              </w:rPr>
            </w:pPr>
            <w:r>
              <w:rPr>
                <w:rFonts w:ascii="Calibri" w:eastAsia="Calibri" w:hAnsi="Calibri" w:cs="Calibri"/>
                <w:b/>
                <w:color w:val="FFFFFF"/>
                <w:sz w:val="18"/>
                <w:szCs w:val="18"/>
              </w:rPr>
              <w:t>(quote %)</w:t>
            </w:r>
          </w:p>
        </w:tc>
      </w:tr>
      <w:tr w:rsidR="00D63C85">
        <w:trPr>
          <w:trHeight w:val="20"/>
        </w:trPr>
        <w:tc>
          <w:tcPr>
            <w:tcW w:w="6335" w:type="dxa"/>
          </w:tcPr>
          <w:p w:rsidR="00D63C85" w:rsidRDefault="00000000">
            <w:pPr>
              <w:pBdr>
                <w:top w:val="nil"/>
                <w:left w:val="nil"/>
                <w:bottom w:val="nil"/>
                <w:right w:val="nil"/>
                <w:between w:val="nil"/>
              </w:pBdr>
              <w:rPr>
                <w:rFonts w:ascii="Calibri" w:eastAsia="Calibri" w:hAnsi="Calibri" w:cs="Calibri"/>
                <w:color w:val="00AEEF"/>
                <w:sz w:val="18"/>
                <w:szCs w:val="18"/>
              </w:rPr>
            </w:pPr>
            <w:r>
              <w:rPr>
                <w:rFonts w:ascii="Calibri" w:eastAsia="Calibri" w:hAnsi="Calibri" w:cs="Calibri"/>
                <w:b/>
                <w:color w:val="00AEEF"/>
                <w:sz w:val="18"/>
                <w:szCs w:val="18"/>
              </w:rPr>
              <w:t>Fabbisogni**</w:t>
            </w:r>
          </w:p>
        </w:tc>
        <w:tc>
          <w:tcPr>
            <w:tcW w:w="1408"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AEEF"/>
                <w:sz w:val="18"/>
                <w:szCs w:val="18"/>
              </w:rPr>
            </w:pPr>
            <w:r>
              <w:rPr>
                <w:rFonts w:ascii="Calibri" w:eastAsia="Calibri" w:hAnsi="Calibri" w:cs="Calibri"/>
                <w:b/>
                <w:color w:val="00AEEF"/>
                <w:sz w:val="18"/>
                <w:szCs w:val="18"/>
              </w:rPr>
              <w:t>846.400</w:t>
            </w:r>
          </w:p>
        </w:tc>
        <w:tc>
          <w:tcPr>
            <w:tcW w:w="1261" w:type="dxa"/>
            <w:tcBorders>
              <w:top w:val="nil"/>
              <w:left w:val="nil"/>
              <w:bottom w:val="nil"/>
              <w:right w:val="single" w:sz="8" w:space="0" w:color="00B0F0"/>
            </w:tcBorders>
            <w:vAlign w:val="center"/>
          </w:tcPr>
          <w:p w:rsidR="00D63C85" w:rsidRDefault="00000000">
            <w:pPr>
              <w:pBdr>
                <w:top w:val="nil"/>
                <w:left w:val="nil"/>
                <w:bottom w:val="nil"/>
                <w:right w:val="nil"/>
                <w:between w:val="nil"/>
              </w:pBdr>
              <w:jc w:val="right"/>
              <w:rPr>
                <w:rFonts w:ascii="Calibri" w:eastAsia="Calibri" w:hAnsi="Calibri" w:cs="Calibri"/>
                <w:color w:val="00AEEF"/>
                <w:sz w:val="18"/>
                <w:szCs w:val="18"/>
              </w:rPr>
            </w:pPr>
            <w:r>
              <w:rPr>
                <w:rFonts w:ascii="Calibri" w:eastAsia="Calibri" w:hAnsi="Calibri" w:cs="Calibri"/>
                <w:b/>
                <w:color w:val="00AEEF"/>
                <w:sz w:val="18"/>
                <w:szCs w:val="18"/>
              </w:rPr>
              <w:t>100,0</w:t>
            </w:r>
          </w:p>
        </w:tc>
      </w:tr>
      <w:tr w:rsidR="00D63C85">
        <w:trPr>
          <w:trHeight w:val="20"/>
        </w:trPr>
        <w:tc>
          <w:tcPr>
            <w:tcW w:w="6335" w:type="dxa"/>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Grandi gruppi professionali</w:t>
            </w:r>
          </w:p>
        </w:tc>
        <w:tc>
          <w:tcPr>
            <w:tcW w:w="1408" w:type="dxa"/>
            <w:tcBorders>
              <w:top w:val="nil"/>
              <w:left w:val="nil"/>
              <w:bottom w:val="nil"/>
              <w:right w:val="nil"/>
            </w:tcBorders>
            <w:vAlign w:val="center"/>
          </w:tcPr>
          <w:p w:rsidR="00D63C85" w:rsidRDefault="00D63C85">
            <w:pPr>
              <w:pBdr>
                <w:top w:val="nil"/>
                <w:left w:val="nil"/>
                <w:bottom w:val="nil"/>
                <w:right w:val="nil"/>
                <w:between w:val="nil"/>
              </w:pBdr>
              <w:rPr>
                <w:rFonts w:ascii="Calibri" w:eastAsia="Calibri" w:hAnsi="Calibri" w:cs="Calibri"/>
                <w:color w:val="000000"/>
                <w:sz w:val="18"/>
                <w:szCs w:val="18"/>
              </w:rPr>
            </w:pPr>
          </w:p>
        </w:tc>
        <w:tc>
          <w:tcPr>
            <w:tcW w:w="1261" w:type="dxa"/>
            <w:tcBorders>
              <w:top w:val="nil"/>
              <w:left w:val="nil"/>
              <w:bottom w:val="nil"/>
              <w:right w:val="single" w:sz="8" w:space="0" w:color="00B0F0"/>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b/>
                <w:color w:val="000000"/>
                <w:sz w:val="18"/>
                <w:szCs w:val="18"/>
              </w:rPr>
              <w:t> </w:t>
            </w:r>
          </w:p>
        </w:tc>
      </w:tr>
      <w:tr w:rsidR="00D63C85">
        <w:trPr>
          <w:trHeight w:val="20"/>
        </w:trPr>
        <w:tc>
          <w:tcPr>
            <w:tcW w:w="6335" w:type="dxa"/>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Dirigenti, impiegati con elevata specializzazione e tecnici</w:t>
            </w:r>
          </w:p>
        </w:tc>
        <w:tc>
          <w:tcPr>
            <w:tcW w:w="1408"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b/>
                <w:color w:val="000000"/>
                <w:sz w:val="18"/>
                <w:szCs w:val="18"/>
              </w:rPr>
              <w:t>528.000</w:t>
            </w:r>
          </w:p>
        </w:tc>
        <w:tc>
          <w:tcPr>
            <w:tcW w:w="1261" w:type="dxa"/>
            <w:tcBorders>
              <w:top w:val="nil"/>
              <w:left w:val="nil"/>
              <w:bottom w:val="nil"/>
              <w:right w:val="single" w:sz="8" w:space="0" w:color="00B0F0"/>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b/>
                <w:color w:val="000000"/>
                <w:sz w:val="18"/>
                <w:szCs w:val="18"/>
              </w:rPr>
              <w:t>62,4</w:t>
            </w:r>
          </w:p>
        </w:tc>
      </w:tr>
      <w:tr w:rsidR="00D63C85">
        <w:trPr>
          <w:trHeight w:val="20"/>
        </w:trPr>
        <w:tc>
          <w:tcPr>
            <w:tcW w:w="6335" w:type="dxa"/>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1      Dirigenti</w:t>
            </w:r>
          </w:p>
        </w:tc>
        <w:tc>
          <w:tcPr>
            <w:tcW w:w="1408"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21.200</w:t>
            </w:r>
          </w:p>
        </w:tc>
        <w:tc>
          <w:tcPr>
            <w:tcW w:w="1261" w:type="dxa"/>
            <w:tcBorders>
              <w:top w:val="nil"/>
              <w:left w:val="nil"/>
              <w:bottom w:val="nil"/>
              <w:right w:val="single" w:sz="8" w:space="0" w:color="00B0F0"/>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2,5</w:t>
            </w:r>
          </w:p>
        </w:tc>
      </w:tr>
      <w:tr w:rsidR="00D63C85">
        <w:trPr>
          <w:trHeight w:val="20"/>
        </w:trPr>
        <w:tc>
          <w:tcPr>
            <w:tcW w:w="6335" w:type="dxa"/>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2      Professioni intellettuali, scientifiche e di elevata specializzazione</w:t>
            </w:r>
          </w:p>
        </w:tc>
        <w:tc>
          <w:tcPr>
            <w:tcW w:w="1408"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316.800</w:t>
            </w:r>
          </w:p>
        </w:tc>
        <w:tc>
          <w:tcPr>
            <w:tcW w:w="1261" w:type="dxa"/>
            <w:tcBorders>
              <w:top w:val="nil"/>
              <w:left w:val="nil"/>
              <w:bottom w:val="nil"/>
              <w:right w:val="single" w:sz="8" w:space="0" w:color="00B0F0"/>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37,4</w:t>
            </w:r>
          </w:p>
        </w:tc>
      </w:tr>
      <w:tr w:rsidR="00D63C85">
        <w:trPr>
          <w:trHeight w:val="20"/>
        </w:trPr>
        <w:tc>
          <w:tcPr>
            <w:tcW w:w="6335" w:type="dxa"/>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3      Professioni tecniche</w:t>
            </w:r>
          </w:p>
        </w:tc>
        <w:tc>
          <w:tcPr>
            <w:tcW w:w="1408"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190.000</w:t>
            </w:r>
          </w:p>
        </w:tc>
        <w:tc>
          <w:tcPr>
            <w:tcW w:w="1261" w:type="dxa"/>
            <w:tcBorders>
              <w:top w:val="nil"/>
              <w:left w:val="nil"/>
              <w:bottom w:val="nil"/>
              <w:right w:val="single" w:sz="8" w:space="0" w:color="00B0F0"/>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22,4</w:t>
            </w:r>
          </w:p>
        </w:tc>
      </w:tr>
      <w:tr w:rsidR="00D63C85">
        <w:trPr>
          <w:trHeight w:val="20"/>
        </w:trPr>
        <w:tc>
          <w:tcPr>
            <w:tcW w:w="6335" w:type="dxa"/>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Impiegati, professioni commerciali e nei servizi</w:t>
            </w:r>
          </w:p>
        </w:tc>
        <w:tc>
          <w:tcPr>
            <w:tcW w:w="1408"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b/>
                <w:color w:val="000000"/>
                <w:sz w:val="18"/>
                <w:szCs w:val="18"/>
              </w:rPr>
              <w:t>260.800</w:t>
            </w:r>
          </w:p>
        </w:tc>
        <w:tc>
          <w:tcPr>
            <w:tcW w:w="1261" w:type="dxa"/>
            <w:tcBorders>
              <w:top w:val="nil"/>
              <w:left w:val="nil"/>
              <w:bottom w:val="nil"/>
              <w:right w:val="single" w:sz="8" w:space="0" w:color="00B0F0"/>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b/>
                <w:color w:val="000000"/>
                <w:sz w:val="18"/>
                <w:szCs w:val="18"/>
              </w:rPr>
              <w:t>30,8</w:t>
            </w:r>
          </w:p>
        </w:tc>
      </w:tr>
      <w:tr w:rsidR="00D63C85">
        <w:trPr>
          <w:trHeight w:val="20"/>
        </w:trPr>
        <w:tc>
          <w:tcPr>
            <w:tcW w:w="6335" w:type="dxa"/>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4      Impiegati</w:t>
            </w:r>
          </w:p>
        </w:tc>
        <w:tc>
          <w:tcPr>
            <w:tcW w:w="1408"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187.000</w:t>
            </w:r>
          </w:p>
        </w:tc>
        <w:tc>
          <w:tcPr>
            <w:tcW w:w="1261" w:type="dxa"/>
            <w:tcBorders>
              <w:top w:val="nil"/>
              <w:left w:val="nil"/>
              <w:bottom w:val="nil"/>
              <w:right w:val="single" w:sz="8" w:space="0" w:color="00B0F0"/>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22,1</w:t>
            </w:r>
          </w:p>
        </w:tc>
      </w:tr>
      <w:tr w:rsidR="00D63C85">
        <w:trPr>
          <w:trHeight w:val="20"/>
        </w:trPr>
        <w:tc>
          <w:tcPr>
            <w:tcW w:w="6335" w:type="dxa"/>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5      Professioni qualificate nelle attività commerciali e nei servizi</w:t>
            </w:r>
          </w:p>
        </w:tc>
        <w:tc>
          <w:tcPr>
            <w:tcW w:w="1408"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73.900</w:t>
            </w:r>
          </w:p>
        </w:tc>
        <w:tc>
          <w:tcPr>
            <w:tcW w:w="1261" w:type="dxa"/>
            <w:tcBorders>
              <w:top w:val="nil"/>
              <w:left w:val="nil"/>
              <w:bottom w:val="nil"/>
              <w:right w:val="single" w:sz="8" w:space="0" w:color="00B0F0"/>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8,7</w:t>
            </w:r>
          </w:p>
        </w:tc>
      </w:tr>
      <w:tr w:rsidR="00D63C85">
        <w:trPr>
          <w:trHeight w:val="20"/>
        </w:trPr>
        <w:tc>
          <w:tcPr>
            <w:tcW w:w="6335" w:type="dxa"/>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Operai specializzati e conduttori di impianti e macchine</w:t>
            </w:r>
          </w:p>
        </w:tc>
        <w:tc>
          <w:tcPr>
            <w:tcW w:w="1408"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b/>
                <w:color w:val="000000"/>
                <w:sz w:val="18"/>
                <w:szCs w:val="18"/>
              </w:rPr>
              <w:t>7.100</w:t>
            </w:r>
          </w:p>
        </w:tc>
        <w:tc>
          <w:tcPr>
            <w:tcW w:w="1261" w:type="dxa"/>
            <w:tcBorders>
              <w:top w:val="nil"/>
              <w:left w:val="nil"/>
              <w:bottom w:val="nil"/>
              <w:right w:val="single" w:sz="8" w:space="0" w:color="00B0F0"/>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b/>
                <w:color w:val="000000"/>
                <w:sz w:val="18"/>
                <w:szCs w:val="18"/>
              </w:rPr>
              <w:t>0,8</w:t>
            </w:r>
          </w:p>
        </w:tc>
      </w:tr>
      <w:tr w:rsidR="00D63C85">
        <w:trPr>
          <w:trHeight w:val="20"/>
        </w:trPr>
        <w:tc>
          <w:tcPr>
            <w:tcW w:w="6335" w:type="dxa"/>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6      Operai specializzati </w:t>
            </w:r>
          </w:p>
        </w:tc>
        <w:tc>
          <w:tcPr>
            <w:tcW w:w="1408"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3.400</w:t>
            </w:r>
          </w:p>
        </w:tc>
        <w:tc>
          <w:tcPr>
            <w:tcW w:w="1261" w:type="dxa"/>
            <w:tcBorders>
              <w:top w:val="nil"/>
              <w:left w:val="nil"/>
              <w:bottom w:val="nil"/>
              <w:right w:val="single" w:sz="8" w:space="0" w:color="00B0F0"/>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0,4</w:t>
            </w:r>
          </w:p>
        </w:tc>
      </w:tr>
      <w:tr w:rsidR="00D63C85">
        <w:trPr>
          <w:trHeight w:val="20"/>
        </w:trPr>
        <w:tc>
          <w:tcPr>
            <w:tcW w:w="6335" w:type="dxa"/>
            <w:tcBorders>
              <w:bottom w:val="nil"/>
            </w:tcBorders>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7      Conduttori di impianti e addetti a macchinari fissi e mobili</w:t>
            </w:r>
          </w:p>
        </w:tc>
        <w:tc>
          <w:tcPr>
            <w:tcW w:w="1408"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3.700</w:t>
            </w:r>
          </w:p>
        </w:tc>
        <w:tc>
          <w:tcPr>
            <w:tcW w:w="1261" w:type="dxa"/>
            <w:tcBorders>
              <w:top w:val="nil"/>
              <w:left w:val="nil"/>
              <w:bottom w:val="nil"/>
              <w:right w:val="single" w:sz="8" w:space="0" w:color="00B0F0"/>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0,4</w:t>
            </w:r>
          </w:p>
        </w:tc>
      </w:tr>
      <w:tr w:rsidR="00D63C85">
        <w:trPr>
          <w:trHeight w:val="20"/>
        </w:trPr>
        <w:tc>
          <w:tcPr>
            <w:tcW w:w="6335" w:type="dxa"/>
            <w:tcBorders>
              <w:top w:val="nil"/>
              <w:bottom w:val="single" w:sz="4" w:space="0" w:color="02AEEF"/>
            </w:tcBorders>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Professioni non qualificate</w:t>
            </w:r>
          </w:p>
        </w:tc>
        <w:tc>
          <w:tcPr>
            <w:tcW w:w="1408"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b/>
                <w:color w:val="000000"/>
                <w:sz w:val="18"/>
                <w:szCs w:val="18"/>
              </w:rPr>
              <w:t>43.000</w:t>
            </w:r>
          </w:p>
        </w:tc>
        <w:tc>
          <w:tcPr>
            <w:tcW w:w="1261" w:type="dxa"/>
            <w:tcBorders>
              <w:top w:val="nil"/>
              <w:left w:val="nil"/>
              <w:bottom w:val="nil"/>
              <w:right w:val="single" w:sz="8" w:space="0" w:color="00B0F0"/>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b/>
                <w:color w:val="000000"/>
                <w:sz w:val="18"/>
                <w:szCs w:val="18"/>
              </w:rPr>
              <w:t>5,1</w:t>
            </w:r>
          </w:p>
        </w:tc>
      </w:tr>
      <w:tr w:rsidR="00D63C85">
        <w:trPr>
          <w:trHeight w:val="20"/>
        </w:trPr>
        <w:tc>
          <w:tcPr>
            <w:tcW w:w="6335" w:type="dxa"/>
            <w:tcBorders>
              <w:top w:val="single" w:sz="4" w:space="0" w:color="02AEEF"/>
              <w:bottom w:val="nil"/>
            </w:tcBorders>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Formazione</w:t>
            </w:r>
          </w:p>
        </w:tc>
        <w:tc>
          <w:tcPr>
            <w:tcW w:w="1408" w:type="dxa"/>
            <w:tcBorders>
              <w:top w:val="single" w:sz="4" w:space="0" w:color="02AEEF"/>
              <w:bottom w:val="nil"/>
            </w:tcBorders>
          </w:tcPr>
          <w:p w:rsidR="00D63C85" w:rsidRDefault="00D63C85">
            <w:pPr>
              <w:pBdr>
                <w:top w:val="nil"/>
                <w:left w:val="nil"/>
                <w:bottom w:val="nil"/>
                <w:right w:val="nil"/>
                <w:between w:val="nil"/>
              </w:pBdr>
              <w:rPr>
                <w:rFonts w:ascii="Calibri" w:eastAsia="Calibri" w:hAnsi="Calibri" w:cs="Calibri"/>
                <w:color w:val="000000"/>
                <w:sz w:val="18"/>
                <w:szCs w:val="18"/>
              </w:rPr>
            </w:pPr>
          </w:p>
        </w:tc>
        <w:tc>
          <w:tcPr>
            <w:tcW w:w="1261" w:type="dxa"/>
            <w:tcBorders>
              <w:top w:val="single" w:sz="4" w:space="0" w:color="02AEEF"/>
              <w:bottom w:val="nil"/>
            </w:tcBorders>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b/>
                <w:color w:val="000000"/>
                <w:sz w:val="18"/>
                <w:szCs w:val="18"/>
              </w:rPr>
              <w:t> </w:t>
            </w:r>
          </w:p>
        </w:tc>
      </w:tr>
      <w:tr w:rsidR="00D63C85">
        <w:trPr>
          <w:trHeight w:val="20"/>
        </w:trPr>
        <w:tc>
          <w:tcPr>
            <w:tcW w:w="6335" w:type="dxa"/>
            <w:tcBorders>
              <w:top w:val="nil"/>
              <w:bottom w:val="nil"/>
            </w:tcBorders>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Formazione terziaria </w:t>
            </w:r>
          </w:p>
        </w:tc>
        <w:tc>
          <w:tcPr>
            <w:tcW w:w="1408"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646.000</w:t>
            </w:r>
          </w:p>
        </w:tc>
        <w:tc>
          <w:tcPr>
            <w:tcW w:w="1261" w:type="dxa"/>
            <w:tcBorders>
              <w:top w:val="nil"/>
              <w:left w:val="nil"/>
              <w:bottom w:val="nil"/>
              <w:right w:val="single" w:sz="8" w:space="0" w:color="00B0F0"/>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76,3</w:t>
            </w:r>
          </w:p>
        </w:tc>
      </w:tr>
      <w:tr w:rsidR="00D63C85">
        <w:trPr>
          <w:trHeight w:val="20"/>
        </w:trPr>
        <w:tc>
          <w:tcPr>
            <w:tcW w:w="6335" w:type="dxa"/>
            <w:tcBorders>
              <w:top w:val="nil"/>
              <w:bottom w:val="nil"/>
            </w:tcBorders>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Formazione secondaria di secondo grado (licei) </w:t>
            </w:r>
          </w:p>
        </w:tc>
        <w:tc>
          <w:tcPr>
            <w:tcW w:w="1408"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41.100</w:t>
            </w:r>
          </w:p>
        </w:tc>
        <w:tc>
          <w:tcPr>
            <w:tcW w:w="1261" w:type="dxa"/>
            <w:tcBorders>
              <w:top w:val="nil"/>
              <w:left w:val="nil"/>
              <w:bottom w:val="nil"/>
              <w:right w:val="single" w:sz="8" w:space="0" w:color="00B0F0"/>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4,8</w:t>
            </w:r>
          </w:p>
        </w:tc>
      </w:tr>
      <w:tr w:rsidR="00D63C85">
        <w:trPr>
          <w:trHeight w:val="20"/>
        </w:trPr>
        <w:tc>
          <w:tcPr>
            <w:tcW w:w="6335" w:type="dxa"/>
            <w:tcBorders>
              <w:top w:val="nil"/>
            </w:tcBorders>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Formazione secondaria di secondo grado (tecnico-professionale)</w:t>
            </w:r>
            <w:r>
              <w:rPr>
                <w:rFonts w:ascii="Calibri" w:eastAsia="Calibri" w:hAnsi="Calibri" w:cs="Calibri"/>
                <w:color w:val="000000"/>
                <w:sz w:val="18"/>
                <w:szCs w:val="18"/>
                <w:vertAlign w:val="superscript"/>
              </w:rPr>
              <w:t xml:space="preserve"> (1)</w:t>
            </w:r>
          </w:p>
        </w:tc>
        <w:tc>
          <w:tcPr>
            <w:tcW w:w="1408" w:type="dxa"/>
            <w:tcBorders>
              <w:top w:val="nil"/>
              <w:left w:val="nil"/>
              <w:bottom w:val="single" w:sz="8" w:space="0" w:color="00B0F0"/>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159.300</w:t>
            </w:r>
          </w:p>
        </w:tc>
        <w:tc>
          <w:tcPr>
            <w:tcW w:w="1261" w:type="dxa"/>
            <w:tcBorders>
              <w:top w:val="nil"/>
              <w:left w:val="nil"/>
              <w:bottom w:val="single" w:sz="8" w:space="0" w:color="00B0F0"/>
              <w:right w:val="single" w:sz="8" w:space="0" w:color="00B0F0"/>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18,8</w:t>
            </w:r>
          </w:p>
        </w:tc>
      </w:tr>
    </w:tbl>
    <w:p w:rsidR="00D63C85" w:rsidRDefault="00000000">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i/>
          <w:color w:val="000000"/>
          <w:sz w:val="16"/>
          <w:szCs w:val="16"/>
        </w:rPr>
        <w:t>*Valori assoluti arrotondati alle centinaia. I totali possono non coincidere con la somma dei singoli valori.</w:t>
      </w:r>
    </w:p>
    <w:p w:rsidR="00D63C85" w:rsidRDefault="00000000">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i/>
          <w:color w:val="000000"/>
          <w:sz w:val="16"/>
          <w:szCs w:val="16"/>
        </w:rPr>
        <w:t>**Nel totale sono compresi anche i fabbisogni di Forze Armate.</w:t>
      </w:r>
    </w:p>
    <w:p w:rsidR="00D63C85" w:rsidRDefault="00000000">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i/>
          <w:color w:val="000000"/>
          <w:sz w:val="16"/>
          <w:szCs w:val="16"/>
          <w:vertAlign w:val="superscript"/>
        </w:rPr>
        <w:t>(1)</w:t>
      </w:r>
      <w:r>
        <w:rPr>
          <w:rFonts w:ascii="Calibri" w:eastAsia="Calibri" w:hAnsi="Calibri" w:cs="Calibri"/>
          <w:i/>
          <w:color w:val="000000"/>
          <w:sz w:val="16"/>
          <w:szCs w:val="16"/>
        </w:rPr>
        <w:t xml:space="preserve"> Sono compresi gli istituti tecnici e professionali e l’Istruzione e Formazione Professionale (</w:t>
      </w:r>
      <w:proofErr w:type="spellStart"/>
      <w:r>
        <w:rPr>
          <w:rFonts w:ascii="Calibri" w:eastAsia="Calibri" w:hAnsi="Calibri" w:cs="Calibri"/>
          <w:i/>
          <w:color w:val="000000"/>
          <w:sz w:val="16"/>
          <w:szCs w:val="16"/>
        </w:rPr>
        <w:t>IeFP</w:t>
      </w:r>
      <w:proofErr w:type="spellEnd"/>
      <w:r>
        <w:rPr>
          <w:rFonts w:ascii="Calibri" w:eastAsia="Calibri" w:hAnsi="Calibri" w:cs="Calibri"/>
          <w:i/>
          <w:color w:val="000000"/>
          <w:sz w:val="16"/>
          <w:szCs w:val="16"/>
        </w:rPr>
        <w:t>).</w:t>
      </w:r>
    </w:p>
    <w:p w:rsidR="00D63C85" w:rsidRDefault="00000000">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i/>
          <w:color w:val="000000"/>
          <w:sz w:val="16"/>
          <w:szCs w:val="16"/>
        </w:rPr>
        <w:t>Fonte: Unioncamere – Ministero del Lavoro e delle Politiche Sociali, Sistema Informativo Excelsior</w:t>
      </w:r>
    </w:p>
    <w:p w:rsidR="00D63C85" w:rsidRPr="008013CE" w:rsidRDefault="00D63C85">
      <w:pPr>
        <w:pBdr>
          <w:top w:val="nil"/>
          <w:left w:val="nil"/>
          <w:bottom w:val="nil"/>
          <w:right w:val="nil"/>
          <w:between w:val="nil"/>
        </w:pBdr>
        <w:jc w:val="both"/>
        <w:rPr>
          <w:color w:val="000000"/>
          <w:sz w:val="16"/>
          <w:szCs w:val="16"/>
        </w:rPr>
      </w:pPr>
    </w:p>
    <w:p w:rsidR="00D63C85" w:rsidRDefault="00000000">
      <w:pPr>
        <w:pBdr>
          <w:top w:val="nil"/>
          <w:left w:val="nil"/>
          <w:bottom w:val="nil"/>
          <w:right w:val="nil"/>
          <w:between w:val="nil"/>
        </w:pBdr>
        <w:spacing w:after="120"/>
        <w:rPr>
          <w:rFonts w:ascii="Calibri" w:eastAsia="Calibri" w:hAnsi="Calibri" w:cs="Calibri"/>
          <w:b/>
          <w:color w:val="404040"/>
        </w:rPr>
      </w:pPr>
      <w:r>
        <w:rPr>
          <w:rFonts w:ascii="Calibri" w:eastAsia="Calibri" w:hAnsi="Calibri" w:cs="Calibri"/>
          <w:b/>
          <w:color w:val="404040"/>
        </w:rPr>
        <w:t>Fabbisogni di dipendenti pubblici previsti nel 2024-2028 per settore, grandi gruppi professionali e tipologia di formazione</w:t>
      </w:r>
    </w:p>
    <w:tbl>
      <w:tblPr>
        <w:tblStyle w:val="a1"/>
        <w:tblW w:w="9004" w:type="dxa"/>
        <w:tblInd w:w="-108" w:type="dxa"/>
        <w:tblBorders>
          <w:top w:val="single" w:sz="4" w:space="0" w:color="02AEEF"/>
          <w:left w:val="single" w:sz="4" w:space="0" w:color="02AEEF"/>
          <w:bottom w:val="single" w:sz="4" w:space="0" w:color="02AEEF"/>
          <w:right w:val="single" w:sz="4" w:space="0" w:color="02AEEF"/>
          <w:insideH w:val="nil"/>
          <w:insideV w:val="nil"/>
        </w:tblBorders>
        <w:tblLayout w:type="fixed"/>
        <w:tblLook w:val="0000" w:firstRow="0" w:lastRow="0" w:firstColumn="0" w:lastColumn="0" w:noHBand="0" w:noVBand="0"/>
      </w:tblPr>
      <w:tblGrid>
        <w:gridCol w:w="5237"/>
        <w:gridCol w:w="956"/>
        <w:gridCol w:w="1127"/>
        <w:gridCol w:w="1684"/>
      </w:tblGrid>
      <w:tr w:rsidR="00D63C85">
        <w:trPr>
          <w:cantSplit/>
          <w:trHeight w:val="276"/>
        </w:trPr>
        <w:tc>
          <w:tcPr>
            <w:tcW w:w="5237" w:type="dxa"/>
            <w:vMerge w:val="restart"/>
            <w:shd w:val="clear" w:color="auto" w:fill="02AEEF"/>
          </w:tcPr>
          <w:p w:rsidR="00D63C85" w:rsidRDefault="00000000">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b/>
                <w:color w:val="000000"/>
                <w:sz w:val="18"/>
                <w:szCs w:val="18"/>
              </w:rPr>
              <w:t> </w:t>
            </w:r>
          </w:p>
        </w:tc>
        <w:tc>
          <w:tcPr>
            <w:tcW w:w="956" w:type="dxa"/>
            <w:vMerge w:val="restart"/>
            <w:shd w:val="clear" w:color="auto" w:fill="02AEEF"/>
          </w:tcPr>
          <w:p w:rsidR="00D63C85" w:rsidRDefault="00000000">
            <w:pPr>
              <w:pBdr>
                <w:top w:val="nil"/>
                <w:left w:val="nil"/>
                <w:bottom w:val="nil"/>
                <w:right w:val="nil"/>
                <w:between w:val="nil"/>
              </w:pBdr>
              <w:jc w:val="center"/>
              <w:rPr>
                <w:rFonts w:ascii="Calibri" w:eastAsia="Calibri" w:hAnsi="Calibri" w:cs="Calibri"/>
                <w:color w:val="FFFFFF"/>
                <w:sz w:val="18"/>
                <w:szCs w:val="18"/>
              </w:rPr>
            </w:pPr>
            <w:r>
              <w:rPr>
                <w:rFonts w:ascii="Calibri" w:eastAsia="Calibri" w:hAnsi="Calibri" w:cs="Calibri"/>
                <w:b/>
                <w:color w:val="FFFFFF"/>
                <w:sz w:val="18"/>
                <w:szCs w:val="18"/>
              </w:rPr>
              <w:t>Istruzione e servizi formativi pubblici</w:t>
            </w:r>
          </w:p>
        </w:tc>
        <w:tc>
          <w:tcPr>
            <w:tcW w:w="1127" w:type="dxa"/>
            <w:vMerge w:val="restart"/>
            <w:shd w:val="clear" w:color="auto" w:fill="02AEEF"/>
          </w:tcPr>
          <w:p w:rsidR="00D63C85" w:rsidRDefault="00000000">
            <w:pPr>
              <w:pBdr>
                <w:top w:val="nil"/>
                <w:left w:val="nil"/>
                <w:bottom w:val="nil"/>
                <w:right w:val="nil"/>
                <w:between w:val="nil"/>
              </w:pBdr>
              <w:jc w:val="center"/>
              <w:rPr>
                <w:rFonts w:ascii="Calibri" w:eastAsia="Calibri" w:hAnsi="Calibri" w:cs="Calibri"/>
                <w:color w:val="FFFFFF"/>
                <w:sz w:val="18"/>
                <w:szCs w:val="18"/>
              </w:rPr>
            </w:pPr>
            <w:r>
              <w:rPr>
                <w:rFonts w:ascii="Calibri" w:eastAsia="Calibri" w:hAnsi="Calibri" w:cs="Calibri"/>
                <w:b/>
                <w:color w:val="FFFFFF"/>
                <w:sz w:val="18"/>
                <w:szCs w:val="18"/>
              </w:rPr>
              <w:t>Sanità, assistenza sociale e servizi sani-tari pubblici</w:t>
            </w:r>
          </w:p>
        </w:tc>
        <w:tc>
          <w:tcPr>
            <w:tcW w:w="1684" w:type="dxa"/>
            <w:vMerge w:val="restart"/>
            <w:tcBorders>
              <w:top w:val="single" w:sz="4" w:space="0" w:color="02AEEF"/>
            </w:tcBorders>
            <w:shd w:val="clear" w:color="auto" w:fill="02AEEF"/>
          </w:tcPr>
          <w:p w:rsidR="00D63C85" w:rsidRDefault="00000000">
            <w:pPr>
              <w:pBdr>
                <w:top w:val="nil"/>
                <w:left w:val="nil"/>
                <w:bottom w:val="nil"/>
                <w:right w:val="nil"/>
                <w:between w:val="nil"/>
              </w:pBdr>
              <w:jc w:val="center"/>
              <w:rPr>
                <w:rFonts w:ascii="Calibri" w:eastAsia="Calibri" w:hAnsi="Calibri" w:cs="Calibri"/>
                <w:color w:val="FFFFFF"/>
                <w:sz w:val="18"/>
                <w:szCs w:val="18"/>
              </w:rPr>
            </w:pPr>
            <w:r>
              <w:rPr>
                <w:rFonts w:ascii="Calibri" w:eastAsia="Calibri" w:hAnsi="Calibri" w:cs="Calibri"/>
                <w:b/>
                <w:color w:val="FFFFFF"/>
                <w:sz w:val="18"/>
                <w:szCs w:val="18"/>
              </w:rPr>
              <w:t>Servizi generali della pubblica amministrazione e assicurazione sociale obbligatoria</w:t>
            </w:r>
          </w:p>
        </w:tc>
      </w:tr>
      <w:tr w:rsidR="00D63C85">
        <w:trPr>
          <w:cantSplit/>
          <w:trHeight w:val="293"/>
        </w:trPr>
        <w:tc>
          <w:tcPr>
            <w:tcW w:w="5237" w:type="dxa"/>
            <w:vMerge/>
            <w:shd w:val="clear" w:color="auto" w:fill="02AEEF"/>
          </w:tcPr>
          <w:p w:rsidR="00D63C85" w:rsidRDefault="00D63C85">
            <w:pPr>
              <w:widowControl w:val="0"/>
              <w:pBdr>
                <w:top w:val="nil"/>
                <w:left w:val="nil"/>
                <w:bottom w:val="nil"/>
                <w:right w:val="nil"/>
                <w:between w:val="nil"/>
              </w:pBdr>
              <w:spacing w:line="276" w:lineRule="auto"/>
              <w:rPr>
                <w:rFonts w:ascii="Calibri" w:eastAsia="Calibri" w:hAnsi="Calibri" w:cs="Calibri"/>
                <w:color w:val="FFFFFF"/>
                <w:sz w:val="18"/>
                <w:szCs w:val="18"/>
              </w:rPr>
            </w:pPr>
          </w:p>
        </w:tc>
        <w:tc>
          <w:tcPr>
            <w:tcW w:w="956" w:type="dxa"/>
            <w:vMerge/>
            <w:shd w:val="clear" w:color="auto" w:fill="02AEEF"/>
          </w:tcPr>
          <w:p w:rsidR="00D63C85" w:rsidRDefault="00D63C85">
            <w:pPr>
              <w:widowControl w:val="0"/>
              <w:pBdr>
                <w:top w:val="nil"/>
                <w:left w:val="nil"/>
                <w:bottom w:val="nil"/>
                <w:right w:val="nil"/>
                <w:between w:val="nil"/>
              </w:pBdr>
              <w:spacing w:line="276" w:lineRule="auto"/>
              <w:rPr>
                <w:rFonts w:ascii="Calibri" w:eastAsia="Calibri" w:hAnsi="Calibri" w:cs="Calibri"/>
                <w:color w:val="FFFFFF"/>
                <w:sz w:val="18"/>
                <w:szCs w:val="18"/>
              </w:rPr>
            </w:pPr>
          </w:p>
        </w:tc>
        <w:tc>
          <w:tcPr>
            <w:tcW w:w="1127" w:type="dxa"/>
            <w:vMerge/>
            <w:shd w:val="clear" w:color="auto" w:fill="02AEEF"/>
          </w:tcPr>
          <w:p w:rsidR="00D63C85" w:rsidRDefault="00D63C85">
            <w:pPr>
              <w:widowControl w:val="0"/>
              <w:pBdr>
                <w:top w:val="nil"/>
                <w:left w:val="nil"/>
                <w:bottom w:val="nil"/>
                <w:right w:val="nil"/>
                <w:between w:val="nil"/>
              </w:pBdr>
              <w:spacing w:line="276" w:lineRule="auto"/>
              <w:rPr>
                <w:rFonts w:ascii="Calibri" w:eastAsia="Calibri" w:hAnsi="Calibri" w:cs="Calibri"/>
                <w:color w:val="FFFFFF"/>
                <w:sz w:val="18"/>
                <w:szCs w:val="18"/>
              </w:rPr>
            </w:pPr>
          </w:p>
        </w:tc>
        <w:tc>
          <w:tcPr>
            <w:tcW w:w="1684" w:type="dxa"/>
            <w:vMerge/>
            <w:tcBorders>
              <w:top w:val="single" w:sz="4" w:space="0" w:color="02AEEF"/>
            </w:tcBorders>
            <w:shd w:val="clear" w:color="auto" w:fill="02AEEF"/>
          </w:tcPr>
          <w:p w:rsidR="00D63C85" w:rsidRDefault="00D63C85">
            <w:pPr>
              <w:widowControl w:val="0"/>
              <w:pBdr>
                <w:top w:val="nil"/>
                <w:left w:val="nil"/>
                <w:bottom w:val="nil"/>
                <w:right w:val="nil"/>
                <w:between w:val="nil"/>
              </w:pBdr>
              <w:spacing w:line="276" w:lineRule="auto"/>
              <w:rPr>
                <w:rFonts w:ascii="Calibri" w:eastAsia="Calibri" w:hAnsi="Calibri" w:cs="Calibri"/>
                <w:color w:val="FFFFFF"/>
                <w:sz w:val="18"/>
                <w:szCs w:val="18"/>
              </w:rPr>
            </w:pPr>
          </w:p>
        </w:tc>
      </w:tr>
      <w:tr w:rsidR="00D63C85">
        <w:trPr>
          <w:cantSplit/>
          <w:trHeight w:val="293"/>
        </w:trPr>
        <w:tc>
          <w:tcPr>
            <w:tcW w:w="5237" w:type="dxa"/>
            <w:vMerge/>
            <w:shd w:val="clear" w:color="auto" w:fill="02AEEF"/>
          </w:tcPr>
          <w:p w:rsidR="00D63C85" w:rsidRDefault="00D63C85">
            <w:pPr>
              <w:widowControl w:val="0"/>
              <w:pBdr>
                <w:top w:val="nil"/>
                <w:left w:val="nil"/>
                <w:bottom w:val="nil"/>
                <w:right w:val="nil"/>
                <w:between w:val="nil"/>
              </w:pBdr>
              <w:spacing w:line="276" w:lineRule="auto"/>
              <w:rPr>
                <w:rFonts w:ascii="Calibri" w:eastAsia="Calibri" w:hAnsi="Calibri" w:cs="Calibri"/>
                <w:color w:val="FFFFFF"/>
                <w:sz w:val="18"/>
                <w:szCs w:val="18"/>
              </w:rPr>
            </w:pPr>
          </w:p>
        </w:tc>
        <w:tc>
          <w:tcPr>
            <w:tcW w:w="956" w:type="dxa"/>
            <w:vMerge/>
            <w:shd w:val="clear" w:color="auto" w:fill="02AEEF"/>
          </w:tcPr>
          <w:p w:rsidR="00D63C85" w:rsidRDefault="00D63C85">
            <w:pPr>
              <w:widowControl w:val="0"/>
              <w:pBdr>
                <w:top w:val="nil"/>
                <w:left w:val="nil"/>
                <w:bottom w:val="nil"/>
                <w:right w:val="nil"/>
                <w:between w:val="nil"/>
              </w:pBdr>
              <w:spacing w:line="276" w:lineRule="auto"/>
              <w:rPr>
                <w:rFonts w:ascii="Calibri" w:eastAsia="Calibri" w:hAnsi="Calibri" w:cs="Calibri"/>
                <w:color w:val="FFFFFF"/>
                <w:sz w:val="18"/>
                <w:szCs w:val="18"/>
              </w:rPr>
            </w:pPr>
          </w:p>
        </w:tc>
        <w:tc>
          <w:tcPr>
            <w:tcW w:w="1127" w:type="dxa"/>
            <w:vMerge/>
            <w:shd w:val="clear" w:color="auto" w:fill="02AEEF"/>
          </w:tcPr>
          <w:p w:rsidR="00D63C85" w:rsidRDefault="00D63C85">
            <w:pPr>
              <w:widowControl w:val="0"/>
              <w:pBdr>
                <w:top w:val="nil"/>
                <w:left w:val="nil"/>
                <w:bottom w:val="nil"/>
                <w:right w:val="nil"/>
                <w:between w:val="nil"/>
              </w:pBdr>
              <w:spacing w:line="276" w:lineRule="auto"/>
              <w:rPr>
                <w:rFonts w:ascii="Calibri" w:eastAsia="Calibri" w:hAnsi="Calibri" w:cs="Calibri"/>
                <w:color w:val="FFFFFF"/>
                <w:sz w:val="18"/>
                <w:szCs w:val="18"/>
              </w:rPr>
            </w:pPr>
          </w:p>
        </w:tc>
        <w:tc>
          <w:tcPr>
            <w:tcW w:w="1684" w:type="dxa"/>
            <w:vMerge/>
            <w:tcBorders>
              <w:top w:val="single" w:sz="4" w:space="0" w:color="02AEEF"/>
            </w:tcBorders>
            <w:shd w:val="clear" w:color="auto" w:fill="02AEEF"/>
          </w:tcPr>
          <w:p w:rsidR="00D63C85" w:rsidRDefault="00D63C85">
            <w:pPr>
              <w:widowControl w:val="0"/>
              <w:pBdr>
                <w:top w:val="nil"/>
                <w:left w:val="nil"/>
                <w:bottom w:val="nil"/>
                <w:right w:val="nil"/>
                <w:between w:val="nil"/>
              </w:pBdr>
              <w:spacing w:line="276" w:lineRule="auto"/>
              <w:rPr>
                <w:rFonts w:ascii="Calibri" w:eastAsia="Calibri" w:hAnsi="Calibri" w:cs="Calibri"/>
                <w:color w:val="FFFFFF"/>
                <w:sz w:val="18"/>
                <w:szCs w:val="18"/>
              </w:rPr>
            </w:pPr>
          </w:p>
        </w:tc>
      </w:tr>
      <w:tr w:rsidR="00D63C85">
        <w:trPr>
          <w:trHeight w:val="20"/>
        </w:trPr>
        <w:tc>
          <w:tcPr>
            <w:tcW w:w="5237" w:type="dxa"/>
          </w:tcPr>
          <w:p w:rsidR="00D63C85" w:rsidRDefault="00000000">
            <w:pPr>
              <w:pBdr>
                <w:top w:val="nil"/>
                <w:left w:val="nil"/>
                <w:bottom w:val="nil"/>
                <w:right w:val="nil"/>
                <w:between w:val="nil"/>
              </w:pBdr>
              <w:rPr>
                <w:rFonts w:ascii="Calibri" w:eastAsia="Calibri" w:hAnsi="Calibri" w:cs="Calibri"/>
                <w:color w:val="00AEEF"/>
                <w:sz w:val="18"/>
                <w:szCs w:val="18"/>
              </w:rPr>
            </w:pPr>
            <w:r>
              <w:rPr>
                <w:rFonts w:ascii="Calibri" w:eastAsia="Calibri" w:hAnsi="Calibri" w:cs="Calibri"/>
                <w:b/>
                <w:color w:val="00AEEF"/>
                <w:sz w:val="18"/>
                <w:szCs w:val="18"/>
              </w:rPr>
              <w:t>Fabbisogni*</w:t>
            </w:r>
          </w:p>
        </w:tc>
        <w:tc>
          <w:tcPr>
            <w:tcW w:w="956"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AEEF"/>
                <w:sz w:val="18"/>
                <w:szCs w:val="18"/>
              </w:rPr>
            </w:pPr>
            <w:r>
              <w:rPr>
                <w:rFonts w:ascii="Calibri" w:eastAsia="Calibri" w:hAnsi="Calibri" w:cs="Calibri"/>
                <w:b/>
                <w:color w:val="00AEEF"/>
                <w:sz w:val="18"/>
                <w:szCs w:val="18"/>
              </w:rPr>
              <w:t>250.600</w:t>
            </w:r>
          </w:p>
        </w:tc>
        <w:tc>
          <w:tcPr>
            <w:tcW w:w="1127"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AEEF"/>
                <w:sz w:val="18"/>
                <w:szCs w:val="18"/>
              </w:rPr>
            </w:pPr>
            <w:r>
              <w:rPr>
                <w:rFonts w:ascii="Calibri" w:eastAsia="Calibri" w:hAnsi="Calibri" w:cs="Calibri"/>
                <w:b/>
                <w:color w:val="00AEEF"/>
                <w:sz w:val="18"/>
                <w:szCs w:val="18"/>
              </w:rPr>
              <w:t>233.900</w:t>
            </w:r>
          </w:p>
        </w:tc>
        <w:tc>
          <w:tcPr>
            <w:tcW w:w="1684" w:type="dxa"/>
            <w:tcBorders>
              <w:top w:val="nil"/>
              <w:left w:val="nil"/>
              <w:bottom w:val="nil"/>
              <w:right w:val="single" w:sz="4" w:space="0" w:color="02AEEF"/>
            </w:tcBorders>
            <w:vAlign w:val="center"/>
          </w:tcPr>
          <w:p w:rsidR="00D63C85" w:rsidRDefault="00000000">
            <w:pPr>
              <w:pBdr>
                <w:top w:val="nil"/>
                <w:left w:val="nil"/>
                <w:bottom w:val="nil"/>
                <w:right w:val="nil"/>
                <w:between w:val="nil"/>
              </w:pBdr>
              <w:jc w:val="right"/>
              <w:rPr>
                <w:rFonts w:ascii="Calibri" w:eastAsia="Calibri" w:hAnsi="Calibri" w:cs="Calibri"/>
                <w:color w:val="00AEEF"/>
                <w:sz w:val="18"/>
                <w:szCs w:val="18"/>
              </w:rPr>
            </w:pPr>
            <w:r>
              <w:rPr>
                <w:rFonts w:ascii="Calibri" w:eastAsia="Calibri" w:hAnsi="Calibri" w:cs="Calibri"/>
                <w:b/>
                <w:color w:val="00AEEF"/>
                <w:sz w:val="18"/>
                <w:szCs w:val="18"/>
              </w:rPr>
              <w:t>362.000</w:t>
            </w:r>
          </w:p>
        </w:tc>
      </w:tr>
      <w:tr w:rsidR="00D63C85">
        <w:trPr>
          <w:trHeight w:val="20"/>
        </w:trPr>
        <w:tc>
          <w:tcPr>
            <w:tcW w:w="5237" w:type="dxa"/>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Grandi gruppi professionali</w:t>
            </w:r>
          </w:p>
        </w:tc>
        <w:tc>
          <w:tcPr>
            <w:tcW w:w="956" w:type="dxa"/>
            <w:tcBorders>
              <w:top w:val="nil"/>
              <w:left w:val="nil"/>
              <w:bottom w:val="nil"/>
              <w:right w:val="nil"/>
            </w:tcBorders>
            <w:vAlign w:val="center"/>
          </w:tcPr>
          <w:p w:rsidR="00D63C85" w:rsidRDefault="00D63C85">
            <w:pPr>
              <w:pBdr>
                <w:top w:val="nil"/>
                <w:left w:val="nil"/>
                <w:bottom w:val="nil"/>
                <w:right w:val="nil"/>
                <w:between w:val="nil"/>
              </w:pBdr>
              <w:rPr>
                <w:rFonts w:ascii="Calibri" w:eastAsia="Calibri" w:hAnsi="Calibri" w:cs="Calibri"/>
                <w:color w:val="000000"/>
                <w:sz w:val="18"/>
                <w:szCs w:val="18"/>
              </w:rPr>
            </w:pPr>
          </w:p>
        </w:tc>
        <w:tc>
          <w:tcPr>
            <w:tcW w:w="1127" w:type="dxa"/>
            <w:tcBorders>
              <w:top w:val="nil"/>
              <w:left w:val="nil"/>
              <w:bottom w:val="nil"/>
              <w:right w:val="nil"/>
            </w:tcBorders>
            <w:vAlign w:val="center"/>
          </w:tcPr>
          <w:p w:rsidR="00D63C85" w:rsidRDefault="00D63C85">
            <w:pPr>
              <w:pBdr>
                <w:top w:val="nil"/>
                <w:left w:val="nil"/>
                <w:bottom w:val="nil"/>
                <w:right w:val="nil"/>
                <w:between w:val="nil"/>
              </w:pBdr>
              <w:jc w:val="right"/>
              <w:rPr>
                <w:rFonts w:ascii="Calibri" w:eastAsia="Calibri" w:hAnsi="Calibri" w:cs="Calibri"/>
                <w:color w:val="000000"/>
                <w:sz w:val="18"/>
                <w:szCs w:val="18"/>
              </w:rPr>
            </w:pPr>
          </w:p>
        </w:tc>
        <w:tc>
          <w:tcPr>
            <w:tcW w:w="1684" w:type="dxa"/>
            <w:tcBorders>
              <w:top w:val="nil"/>
              <w:left w:val="nil"/>
              <w:bottom w:val="nil"/>
              <w:right w:val="single" w:sz="4" w:space="0" w:color="02AEEF"/>
            </w:tcBorders>
            <w:vAlign w:val="center"/>
          </w:tcPr>
          <w:p w:rsidR="00D63C85" w:rsidRDefault="00D63C85">
            <w:pPr>
              <w:pBdr>
                <w:top w:val="nil"/>
                <w:left w:val="nil"/>
                <w:bottom w:val="nil"/>
                <w:right w:val="nil"/>
                <w:between w:val="nil"/>
              </w:pBdr>
              <w:jc w:val="right"/>
              <w:rPr>
                <w:rFonts w:ascii="Calibri" w:eastAsia="Calibri" w:hAnsi="Calibri" w:cs="Calibri"/>
                <w:color w:val="000000"/>
                <w:sz w:val="18"/>
                <w:szCs w:val="18"/>
              </w:rPr>
            </w:pPr>
          </w:p>
        </w:tc>
      </w:tr>
      <w:tr w:rsidR="00D63C85">
        <w:trPr>
          <w:trHeight w:val="20"/>
        </w:trPr>
        <w:tc>
          <w:tcPr>
            <w:tcW w:w="5237" w:type="dxa"/>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Dirigenti, impiegati con elevata specializzazione e tecnici</w:t>
            </w:r>
          </w:p>
        </w:tc>
        <w:tc>
          <w:tcPr>
            <w:tcW w:w="956"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b/>
                <w:color w:val="000000"/>
                <w:sz w:val="18"/>
                <w:szCs w:val="18"/>
              </w:rPr>
              <w:t>204.600</w:t>
            </w:r>
          </w:p>
        </w:tc>
        <w:tc>
          <w:tcPr>
            <w:tcW w:w="1127"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b/>
                <w:color w:val="000000"/>
                <w:sz w:val="18"/>
                <w:szCs w:val="18"/>
              </w:rPr>
              <w:t>145.800</w:t>
            </w:r>
          </w:p>
        </w:tc>
        <w:tc>
          <w:tcPr>
            <w:tcW w:w="1684" w:type="dxa"/>
            <w:tcBorders>
              <w:top w:val="nil"/>
              <w:left w:val="nil"/>
              <w:bottom w:val="nil"/>
              <w:right w:val="single" w:sz="4" w:space="0" w:color="02AEEF"/>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b/>
                <w:color w:val="000000"/>
                <w:sz w:val="18"/>
                <w:szCs w:val="18"/>
              </w:rPr>
              <w:t>177.500</w:t>
            </w:r>
          </w:p>
        </w:tc>
      </w:tr>
      <w:tr w:rsidR="00D63C85">
        <w:trPr>
          <w:trHeight w:val="20"/>
        </w:trPr>
        <w:tc>
          <w:tcPr>
            <w:tcW w:w="5237" w:type="dxa"/>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1      Dirigenti</w:t>
            </w:r>
          </w:p>
        </w:tc>
        <w:tc>
          <w:tcPr>
            <w:tcW w:w="956"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1.000</w:t>
            </w:r>
          </w:p>
        </w:tc>
        <w:tc>
          <w:tcPr>
            <w:tcW w:w="1127"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3.000</w:t>
            </w:r>
          </w:p>
        </w:tc>
        <w:tc>
          <w:tcPr>
            <w:tcW w:w="1684" w:type="dxa"/>
            <w:tcBorders>
              <w:top w:val="nil"/>
              <w:left w:val="nil"/>
              <w:bottom w:val="nil"/>
              <w:right w:val="single" w:sz="4" w:space="0" w:color="02AEEF"/>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17.200</w:t>
            </w:r>
          </w:p>
        </w:tc>
      </w:tr>
      <w:tr w:rsidR="00D63C85">
        <w:trPr>
          <w:trHeight w:val="20"/>
        </w:trPr>
        <w:tc>
          <w:tcPr>
            <w:tcW w:w="5237" w:type="dxa"/>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2      Professioni intellettuali, scientifiche e di elevata specializzazione</w:t>
            </w:r>
          </w:p>
        </w:tc>
        <w:tc>
          <w:tcPr>
            <w:tcW w:w="956"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189.300</w:t>
            </w:r>
          </w:p>
        </w:tc>
        <w:tc>
          <w:tcPr>
            <w:tcW w:w="1127"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46.500</w:t>
            </w:r>
          </w:p>
        </w:tc>
        <w:tc>
          <w:tcPr>
            <w:tcW w:w="1684" w:type="dxa"/>
            <w:tcBorders>
              <w:top w:val="nil"/>
              <w:left w:val="nil"/>
              <w:bottom w:val="nil"/>
              <w:right w:val="single" w:sz="4" w:space="0" w:color="02AEEF"/>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81.000</w:t>
            </w:r>
          </w:p>
        </w:tc>
      </w:tr>
      <w:tr w:rsidR="00D63C85">
        <w:trPr>
          <w:trHeight w:val="20"/>
        </w:trPr>
        <w:tc>
          <w:tcPr>
            <w:tcW w:w="5237" w:type="dxa"/>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3      Professioni tecniche</w:t>
            </w:r>
          </w:p>
        </w:tc>
        <w:tc>
          <w:tcPr>
            <w:tcW w:w="956"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14.300</w:t>
            </w:r>
          </w:p>
        </w:tc>
        <w:tc>
          <w:tcPr>
            <w:tcW w:w="1127"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96.300</w:t>
            </w:r>
          </w:p>
        </w:tc>
        <w:tc>
          <w:tcPr>
            <w:tcW w:w="1684" w:type="dxa"/>
            <w:tcBorders>
              <w:top w:val="nil"/>
              <w:left w:val="nil"/>
              <w:bottom w:val="nil"/>
              <w:right w:val="single" w:sz="4" w:space="0" w:color="02AEEF"/>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79.300</w:t>
            </w:r>
          </w:p>
        </w:tc>
      </w:tr>
      <w:tr w:rsidR="00D63C85">
        <w:trPr>
          <w:trHeight w:val="20"/>
        </w:trPr>
        <w:tc>
          <w:tcPr>
            <w:tcW w:w="5237" w:type="dxa"/>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Impiegati, professioni commerciali e nei servizi</w:t>
            </w:r>
          </w:p>
        </w:tc>
        <w:tc>
          <w:tcPr>
            <w:tcW w:w="956"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b/>
                <w:color w:val="000000"/>
                <w:sz w:val="18"/>
                <w:szCs w:val="18"/>
              </w:rPr>
              <w:t>22.900</w:t>
            </w:r>
          </w:p>
        </w:tc>
        <w:tc>
          <w:tcPr>
            <w:tcW w:w="1127"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b/>
                <w:color w:val="000000"/>
                <w:sz w:val="18"/>
                <w:szCs w:val="18"/>
              </w:rPr>
              <w:t>82.100</w:t>
            </w:r>
          </w:p>
        </w:tc>
        <w:tc>
          <w:tcPr>
            <w:tcW w:w="1684" w:type="dxa"/>
            <w:tcBorders>
              <w:top w:val="nil"/>
              <w:left w:val="nil"/>
              <w:bottom w:val="nil"/>
              <w:right w:val="single" w:sz="4" w:space="0" w:color="02AEEF"/>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b/>
                <w:color w:val="000000"/>
                <w:sz w:val="18"/>
                <w:szCs w:val="18"/>
              </w:rPr>
              <w:t>155.800</w:t>
            </w:r>
          </w:p>
        </w:tc>
      </w:tr>
      <w:tr w:rsidR="00D63C85">
        <w:trPr>
          <w:trHeight w:val="20"/>
        </w:trPr>
        <w:tc>
          <w:tcPr>
            <w:tcW w:w="5237" w:type="dxa"/>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4      Impiegati</w:t>
            </w:r>
          </w:p>
        </w:tc>
        <w:tc>
          <w:tcPr>
            <w:tcW w:w="956"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18.500</w:t>
            </w:r>
          </w:p>
        </w:tc>
        <w:tc>
          <w:tcPr>
            <w:tcW w:w="1127"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36.900</w:t>
            </w:r>
          </w:p>
        </w:tc>
        <w:tc>
          <w:tcPr>
            <w:tcW w:w="1684" w:type="dxa"/>
            <w:tcBorders>
              <w:top w:val="nil"/>
              <w:left w:val="nil"/>
              <w:bottom w:val="nil"/>
              <w:right w:val="single" w:sz="4" w:space="0" w:color="02AEEF"/>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131.500</w:t>
            </w:r>
          </w:p>
        </w:tc>
      </w:tr>
      <w:tr w:rsidR="00D63C85">
        <w:trPr>
          <w:trHeight w:val="20"/>
        </w:trPr>
        <w:tc>
          <w:tcPr>
            <w:tcW w:w="5237" w:type="dxa"/>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5      Professioni qualificate nelle attività commerciali e nei servizi</w:t>
            </w:r>
          </w:p>
        </w:tc>
        <w:tc>
          <w:tcPr>
            <w:tcW w:w="956"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4.400</w:t>
            </w:r>
          </w:p>
        </w:tc>
        <w:tc>
          <w:tcPr>
            <w:tcW w:w="1127"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45.200</w:t>
            </w:r>
          </w:p>
        </w:tc>
        <w:tc>
          <w:tcPr>
            <w:tcW w:w="1684" w:type="dxa"/>
            <w:tcBorders>
              <w:top w:val="nil"/>
              <w:left w:val="nil"/>
              <w:bottom w:val="nil"/>
              <w:right w:val="single" w:sz="4" w:space="0" w:color="02AEEF"/>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24.200</w:t>
            </w:r>
          </w:p>
        </w:tc>
      </w:tr>
      <w:tr w:rsidR="00D63C85">
        <w:trPr>
          <w:trHeight w:val="20"/>
        </w:trPr>
        <w:tc>
          <w:tcPr>
            <w:tcW w:w="5237" w:type="dxa"/>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Operai specializzati e conduttori di impianti e macchine</w:t>
            </w:r>
          </w:p>
        </w:tc>
        <w:tc>
          <w:tcPr>
            <w:tcW w:w="956"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b/>
                <w:color w:val="000000"/>
                <w:sz w:val="18"/>
                <w:szCs w:val="18"/>
              </w:rPr>
              <w:t>200</w:t>
            </w:r>
          </w:p>
        </w:tc>
        <w:tc>
          <w:tcPr>
            <w:tcW w:w="1127"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b/>
                <w:color w:val="000000"/>
                <w:sz w:val="18"/>
                <w:szCs w:val="18"/>
              </w:rPr>
              <w:t>3.300</w:t>
            </w:r>
          </w:p>
        </w:tc>
        <w:tc>
          <w:tcPr>
            <w:tcW w:w="1684" w:type="dxa"/>
            <w:tcBorders>
              <w:top w:val="nil"/>
              <w:left w:val="nil"/>
              <w:bottom w:val="nil"/>
              <w:right w:val="single" w:sz="4" w:space="0" w:color="02AEEF"/>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b/>
                <w:color w:val="000000"/>
                <w:sz w:val="18"/>
                <w:szCs w:val="18"/>
              </w:rPr>
              <w:t>3.600</w:t>
            </w:r>
          </w:p>
        </w:tc>
      </w:tr>
      <w:tr w:rsidR="00D63C85">
        <w:trPr>
          <w:trHeight w:val="20"/>
        </w:trPr>
        <w:tc>
          <w:tcPr>
            <w:tcW w:w="5237" w:type="dxa"/>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6      Operai specializzati </w:t>
            </w:r>
          </w:p>
        </w:tc>
        <w:tc>
          <w:tcPr>
            <w:tcW w:w="956"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0</w:t>
            </w:r>
          </w:p>
        </w:tc>
        <w:tc>
          <w:tcPr>
            <w:tcW w:w="1127"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900</w:t>
            </w:r>
          </w:p>
        </w:tc>
        <w:tc>
          <w:tcPr>
            <w:tcW w:w="1684" w:type="dxa"/>
            <w:tcBorders>
              <w:top w:val="nil"/>
              <w:left w:val="nil"/>
              <w:bottom w:val="nil"/>
              <w:right w:val="single" w:sz="4" w:space="0" w:color="02AEEF"/>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2.600</w:t>
            </w:r>
          </w:p>
        </w:tc>
      </w:tr>
      <w:tr w:rsidR="00D63C85">
        <w:trPr>
          <w:trHeight w:val="20"/>
        </w:trPr>
        <w:tc>
          <w:tcPr>
            <w:tcW w:w="5237" w:type="dxa"/>
            <w:tcBorders>
              <w:bottom w:val="nil"/>
            </w:tcBorders>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7      Conduttori di impianti e addetti a macchinari fissi e mobili</w:t>
            </w:r>
          </w:p>
        </w:tc>
        <w:tc>
          <w:tcPr>
            <w:tcW w:w="956"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200</w:t>
            </w:r>
          </w:p>
        </w:tc>
        <w:tc>
          <w:tcPr>
            <w:tcW w:w="1127"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2.500</w:t>
            </w:r>
          </w:p>
        </w:tc>
        <w:tc>
          <w:tcPr>
            <w:tcW w:w="1684" w:type="dxa"/>
            <w:tcBorders>
              <w:top w:val="nil"/>
              <w:left w:val="nil"/>
              <w:bottom w:val="nil"/>
              <w:right w:val="single" w:sz="4" w:space="0" w:color="02AEEF"/>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1.000</w:t>
            </w:r>
          </w:p>
        </w:tc>
      </w:tr>
      <w:tr w:rsidR="00D63C85">
        <w:trPr>
          <w:trHeight w:val="20"/>
        </w:trPr>
        <w:tc>
          <w:tcPr>
            <w:tcW w:w="5237" w:type="dxa"/>
            <w:tcBorders>
              <w:top w:val="nil"/>
              <w:bottom w:val="single" w:sz="4" w:space="0" w:color="02AEEF"/>
            </w:tcBorders>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Professioni non qualificate</w:t>
            </w:r>
          </w:p>
        </w:tc>
        <w:tc>
          <w:tcPr>
            <w:tcW w:w="956"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b/>
                <w:color w:val="000000"/>
                <w:sz w:val="18"/>
                <w:szCs w:val="18"/>
              </w:rPr>
              <w:t>22.800</w:t>
            </w:r>
          </w:p>
        </w:tc>
        <w:tc>
          <w:tcPr>
            <w:tcW w:w="1127"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b/>
                <w:color w:val="000000"/>
                <w:sz w:val="18"/>
                <w:szCs w:val="18"/>
              </w:rPr>
              <w:t>2.600</w:t>
            </w:r>
          </w:p>
        </w:tc>
        <w:tc>
          <w:tcPr>
            <w:tcW w:w="1684" w:type="dxa"/>
            <w:tcBorders>
              <w:top w:val="nil"/>
              <w:left w:val="nil"/>
              <w:bottom w:val="nil"/>
              <w:right w:val="single" w:sz="4" w:space="0" w:color="02AEEF"/>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b/>
                <w:color w:val="000000"/>
                <w:sz w:val="18"/>
                <w:szCs w:val="18"/>
              </w:rPr>
              <w:t>17.600</w:t>
            </w:r>
          </w:p>
        </w:tc>
      </w:tr>
      <w:tr w:rsidR="00D63C85">
        <w:trPr>
          <w:trHeight w:val="20"/>
        </w:trPr>
        <w:tc>
          <w:tcPr>
            <w:tcW w:w="5237" w:type="dxa"/>
            <w:tcBorders>
              <w:top w:val="single" w:sz="4" w:space="0" w:color="02AEEF"/>
            </w:tcBorders>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Formazione</w:t>
            </w:r>
          </w:p>
        </w:tc>
        <w:tc>
          <w:tcPr>
            <w:tcW w:w="956" w:type="dxa"/>
            <w:tcBorders>
              <w:top w:val="single" w:sz="4" w:space="0" w:color="02AEEF"/>
            </w:tcBorders>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b/>
                <w:color w:val="000000"/>
                <w:sz w:val="18"/>
                <w:szCs w:val="18"/>
              </w:rPr>
              <w:t> </w:t>
            </w:r>
          </w:p>
        </w:tc>
        <w:tc>
          <w:tcPr>
            <w:tcW w:w="1127" w:type="dxa"/>
            <w:tcBorders>
              <w:top w:val="single" w:sz="4" w:space="0" w:color="02AEEF"/>
            </w:tcBorders>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b/>
                <w:color w:val="000000"/>
                <w:sz w:val="18"/>
                <w:szCs w:val="18"/>
              </w:rPr>
              <w:t> </w:t>
            </w:r>
          </w:p>
        </w:tc>
        <w:tc>
          <w:tcPr>
            <w:tcW w:w="1684" w:type="dxa"/>
            <w:tcBorders>
              <w:top w:val="single" w:sz="4" w:space="0" w:color="02AEEF"/>
            </w:tcBorders>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b/>
                <w:color w:val="000000"/>
                <w:sz w:val="18"/>
                <w:szCs w:val="18"/>
              </w:rPr>
              <w:t> </w:t>
            </w:r>
          </w:p>
        </w:tc>
      </w:tr>
      <w:tr w:rsidR="00D63C85">
        <w:trPr>
          <w:trHeight w:val="20"/>
        </w:trPr>
        <w:tc>
          <w:tcPr>
            <w:tcW w:w="5237" w:type="dxa"/>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Formazione terziaria </w:t>
            </w:r>
          </w:p>
        </w:tc>
        <w:tc>
          <w:tcPr>
            <w:tcW w:w="956"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197.500</w:t>
            </w:r>
          </w:p>
        </w:tc>
        <w:tc>
          <w:tcPr>
            <w:tcW w:w="1127" w:type="dxa"/>
            <w:tcBorders>
              <w:top w:val="nil"/>
              <w:left w:val="nil"/>
              <w:bottom w:val="nil"/>
              <w:right w:val="nil"/>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171.800</w:t>
            </w:r>
          </w:p>
        </w:tc>
        <w:tc>
          <w:tcPr>
            <w:tcW w:w="1684" w:type="dxa"/>
            <w:tcBorders>
              <w:top w:val="nil"/>
              <w:left w:val="nil"/>
              <w:bottom w:val="nil"/>
              <w:right w:val="single" w:sz="4" w:space="0" w:color="02AEEF"/>
            </w:tcBorders>
            <w:vAlign w:val="center"/>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276.600</w:t>
            </w:r>
          </w:p>
        </w:tc>
      </w:tr>
      <w:tr w:rsidR="00D63C85">
        <w:trPr>
          <w:trHeight w:val="20"/>
        </w:trPr>
        <w:tc>
          <w:tcPr>
            <w:tcW w:w="5237" w:type="dxa"/>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 xml:space="preserve">Formazione secondaria di secondo grado (licei) </w:t>
            </w:r>
          </w:p>
        </w:tc>
        <w:tc>
          <w:tcPr>
            <w:tcW w:w="956" w:type="dxa"/>
            <w:tcBorders>
              <w:top w:val="nil"/>
              <w:left w:val="nil"/>
              <w:bottom w:val="nil"/>
              <w:right w:val="nil"/>
            </w:tcBorders>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14.000</w:t>
            </w:r>
          </w:p>
        </w:tc>
        <w:tc>
          <w:tcPr>
            <w:tcW w:w="1127" w:type="dxa"/>
            <w:tcBorders>
              <w:top w:val="nil"/>
              <w:left w:val="nil"/>
              <w:bottom w:val="nil"/>
              <w:right w:val="nil"/>
            </w:tcBorders>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13.200</w:t>
            </w:r>
          </w:p>
        </w:tc>
        <w:tc>
          <w:tcPr>
            <w:tcW w:w="1684" w:type="dxa"/>
            <w:tcBorders>
              <w:top w:val="nil"/>
              <w:left w:val="nil"/>
              <w:bottom w:val="nil"/>
              <w:right w:val="single" w:sz="4" w:space="0" w:color="02AEEF"/>
            </w:tcBorders>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13.900</w:t>
            </w:r>
          </w:p>
        </w:tc>
      </w:tr>
      <w:tr w:rsidR="00D63C85">
        <w:trPr>
          <w:trHeight w:val="20"/>
        </w:trPr>
        <w:tc>
          <w:tcPr>
            <w:tcW w:w="5237" w:type="dxa"/>
          </w:tcPr>
          <w:p w:rsidR="00D63C85" w:rsidRDefault="00000000">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Formazione secondaria di secondo grado (tecnico-professionale)</w:t>
            </w:r>
            <w:r>
              <w:rPr>
                <w:rFonts w:ascii="Calibri" w:eastAsia="Calibri" w:hAnsi="Calibri" w:cs="Calibri"/>
                <w:color w:val="000000"/>
                <w:sz w:val="18"/>
                <w:szCs w:val="18"/>
                <w:vertAlign w:val="superscript"/>
              </w:rPr>
              <w:t xml:space="preserve"> (1)</w:t>
            </w:r>
          </w:p>
        </w:tc>
        <w:tc>
          <w:tcPr>
            <w:tcW w:w="956" w:type="dxa"/>
            <w:tcBorders>
              <w:top w:val="nil"/>
              <w:left w:val="nil"/>
              <w:bottom w:val="single" w:sz="8" w:space="0" w:color="00B0F0"/>
              <w:right w:val="nil"/>
            </w:tcBorders>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39.000</w:t>
            </w:r>
          </w:p>
        </w:tc>
        <w:tc>
          <w:tcPr>
            <w:tcW w:w="1127" w:type="dxa"/>
            <w:tcBorders>
              <w:top w:val="nil"/>
              <w:left w:val="nil"/>
              <w:bottom w:val="single" w:sz="8" w:space="0" w:color="00B0F0"/>
              <w:right w:val="nil"/>
            </w:tcBorders>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48.800</w:t>
            </w:r>
          </w:p>
        </w:tc>
        <w:tc>
          <w:tcPr>
            <w:tcW w:w="1684" w:type="dxa"/>
            <w:tcBorders>
              <w:top w:val="nil"/>
              <w:left w:val="nil"/>
              <w:bottom w:val="single" w:sz="8" w:space="0" w:color="00B0F0"/>
              <w:right w:val="single" w:sz="4" w:space="0" w:color="02AEEF"/>
            </w:tcBorders>
          </w:tcPr>
          <w:p w:rsidR="00D63C85" w:rsidRDefault="00000000">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71.500</w:t>
            </w:r>
          </w:p>
        </w:tc>
      </w:tr>
    </w:tbl>
    <w:p w:rsidR="00D63C85" w:rsidRDefault="00000000">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i/>
          <w:color w:val="000000"/>
          <w:sz w:val="16"/>
          <w:szCs w:val="16"/>
        </w:rPr>
        <w:t>*Nel totale sono compresi anche i fabbisogni di Forze Armate.</w:t>
      </w:r>
    </w:p>
    <w:p w:rsidR="00D63C85" w:rsidRDefault="00000000">
      <w:pPr>
        <w:pBdr>
          <w:top w:val="nil"/>
          <w:left w:val="nil"/>
          <w:bottom w:val="nil"/>
          <w:right w:val="nil"/>
          <w:between w:val="nil"/>
        </w:pBdr>
        <w:ind w:left="357"/>
        <w:rPr>
          <w:rFonts w:ascii="Calibri" w:eastAsia="Calibri" w:hAnsi="Calibri" w:cs="Calibri"/>
          <w:color w:val="000000"/>
          <w:sz w:val="16"/>
          <w:szCs w:val="16"/>
        </w:rPr>
      </w:pPr>
      <w:r>
        <w:rPr>
          <w:rFonts w:ascii="Calibri" w:eastAsia="Calibri" w:hAnsi="Calibri" w:cs="Calibri"/>
          <w:i/>
          <w:color w:val="000000"/>
          <w:sz w:val="16"/>
          <w:szCs w:val="16"/>
          <w:vertAlign w:val="superscript"/>
        </w:rPr>
        <w:t>(1)</w:t>
      </w:r>
      <w:r>
        <w:rPr>
          <w:rFonts w:ascii="Calibri" w:eastAsia="Calibri" w:hAnsi="Calibri" w:cs="Calibri"/>
          <w:i/>
          <w:color w:val="000000"/>
          <w:sz w:val="16"/>
          <w:szCs w:val="16"/>
        </w:rPr>
        <w:t xml:space="preserve"> Sono compresi gli istituti tecnici e professionali e l’Istruzione e Formazione Professionale (</w:t>
      </w:r>
      <w:proofErr w:type="spellStart"/>
      <w:r>
        <w:rPr>
          <w:rFonts w:ascii="Calibri" w:eastAsia="Calibri" w:hAnsi="Calibri" w:cs="Calibri"/>
          <w:i/>
          <w:color w:val="000000"/>
          <w:sz w:val="16"/>
          <w:szCs w:val="16"/>
        </w:rPr>
        <w:t>IeFP</w:t>
      </w:r>
      <w:proofErr w:type="spellEnd"/>
      <w:r>
        <w:rPr>
          <w:rFonts w:ascii="Calibri" w:eastAsia="Calibri" w:hAnsi="Calibri" w:cs="Calibri"/>
          <w:i/>
          <w:color w:val="000000"/>
          <w:sz w:val="16"/>
          <w:szCs w:val="16"/>
        </w:rPr>
        <w:t>).</w:t>
      </w:r>
    </w:p>
    <w:p w:rsidR="00D63C85" w:rsidRDefault="00000000">
      <w:pPr>
        <w:pBdr>
          <w:top w:val="nil"/>
          <w:left w:val="nil"/>
          <w:bottom w:val="nil"/>
          <w:right w:val="nil"/>
          <w:between w:val="nil"/>
        </w:pBdr>
        <w:ind w:left="357"/>
        <w:rPr>
          <w:rFonts w:ascii="Calibri" w:eastAsia="Calibri" w:hAnsi="Calibri" w:cs="Calibri"/>
          <w:color w:val="000000"/>
          <w:sz w:val="16"/>
          <w:szCs w:val="16"/>
        </w:rPr>
      </w:pPr>
      <w:bookmarkStart w:id="1" w:name="_30j0zll" w:colFirst="0" w:colLast="0"/>
      <w:bookmarkEnd w:id="1"/>
      <w:r>
        <w:rPr>
          <w:rFonts w:ascii="Calibri" w:eastAsia="Calibri" w:hAnsi="Calibri" w:cs="Calibri"/>
          <w:i/>
          <w:color w:val="000000"/>
          <w:sz w:val="16"/>
          <w:szCs w:val="16"/>
        </w:rPr>
        <w:t>Fonte: Unioncamere – Ministero del Lavoro e delle Politiche Sociali, Sistema Informativo Excelsior</w:t>
      </w:r>
    </w:p>
    <w:sectPr w:rsidR="00D63C85">
      <w:headerReference w:type="even" r:id="rId7"/>
      <w:headerReference w:type="default" r:id="rId8"/>
      <w:footerReference w:type="even" r:id="rId9"/>
      <w:footerReference w:type="default" r:id="rId10"/>
      <w:headerReference w:type="first" r:id="rId11"/>
      <w:footerReference w:type="first" r:id="rId12"/>
      <w:pgSz w:w="11906" w:h="16838"/>
      <w:pgMar w:top="1134" w:right="1559" w:bottom="1134" w:left="1559" w:header="720" w:footer="6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4EC1" w:rsidRDefault="005E4EC1">
      <w:r>
        <w:separator/>
      </w:r>
    </w:p>
  </w:endnote>
  <w:endnote w:type="continuationSeparator" w:id="0">
    <w:p w:rsidR="005E4EC1" w:rsidRDefault="005E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asa">
    <w:altName w:val="Calibri"/>
    <w:panose1 w:val="020B0604020202020204"/>
    <w:charset w:val="00"/>
    <w:family w:val="auto"/>
    <w:pitch w:val="default"/>
  </w:font>
  <w:font w:name="Rasa Light">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3C85" w:rsidRDefault="00D63C85">
    <w:pPr>
      <w:pBdr>
        <w:top w:val="nil"/>
        <w:left w:val="nil"/>
        <w:bottom w:val="nil"/>
        <w:right w:val="nil"/>
        <w:between w:val="nil"/>
      </w:pBdr>
      <w:tabs>
        <w:tab w:val="center" w:pos="4819"/>
        <w:tab w:val="right" w:pos="9638"/>
      </w:tabs>
      <w:jc w:val="both"/>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2"/>
      <w:tblpPr w:leftFromText="141" w:rightFromText="141" w:vertAnchor="text" w:tblpX="-72" w:tblpY="9499"/>
      <w:tblW w:w="9356" w:type="dxa"/>
      <w:tblInd w:w="0" w:type="dxa"/>
      <w:tblLayout w:type="fixed"/>
      <w:tblLook w:val="0000" w:firstRow="0" w:lastRow="0" w:firstColumn="0" w:lastColumn="0" w:noHBand="0" w:noVBand="0"/>
    </w:tblPr>
    <w:tblGrid>
      <w:gridCol w:w="4678"/>
      <w:gridCol w:w="4678"/>
    </w:tblGrid>
    <w:tr w:rsidR="00D63C85">
      <w:trPr>
        <w:trHeight w:val="464"/>
      </w:trPr>
      <w:tc>
        <w:tcPr>
          <w:tcW w:w="4678" w:type="dxa"/>
          <w:vAlign w:val="center"/>
        </w:tcPr>
        <w:p w:rsidR="00D63C85" w:rsidRDefault="00000000">
          <w:pPr>
            <w:pBdr>
              <w:top w:val="nil"/>
              <w:left w:val="nil"/>
              <w:bottom w:val="nil"/>
              <w:right w:val="nil"/>
              <w:between w:val="nil"/>
            </w:pBdr>
            <w:tabs>
              <w:tab w:val="center" w:pos="4819"/>
              <w:tab w:val="right" w:pos="9638"/>
            </w:tabs>
            <w:rPr>
              <w:rFonts w:ascii="Rasa Light" w:eastAsia="Rasa Light" w:hAnsi="Rasa Light" w:cs="Rasa Light"/>
              <w:color w:val="071D49"/>
            </w:rPr>
          </w:pPr>
          <w:r>
            <w:rPr>
              <w:rFonts w:ascii="Rasa Light" w:eastAsia="Rasa Light" w:hAnsi="Rasa Light" w:cs="Rasa Light"/>
              <w:b/>
              <w:color w:val="071D49"/>
            </w:rPr>
            <w:t>Per ulteriori informazioni:</w:t>
          </w:r>
        </w:p>
        <w:p w:rsidR="00D63C85" w:rsidRDefault="00000000">
          <w:pPr>
            <w:pBdr>
              <w:top w:val="nil"/>
              <w:left w:val="nil"/>
              <w:bottom w:val="nil"/>
              <w:right w:val="nil"/>
              <w:between w:val="nil"/>
            </w:pBdr>
            <w:tabs>
              <w:tab w:val="center" w:pos="4819"/>
              <w:tab w:val="right" w:pos="9638"/>
            </w:tabs>
            <w:rPr>
              <w:rFonts w:ascii="Calibri" w:eastAsia="Calibri" w:hAnsi="Calibri" w:cs="Calibri"/>
              <w:color w:val="000000"/>
              <w:sz w:val="24"/>
              <w:szCs w:val="24"/>
            </w:rPr>
          </w:pPr>
          <w:r>
            <w:rPr>
              <w:rFonts w:ascii="Rasa Light" w:eastAsia="Rasa Light" w:hAnsi="Rasa Light" w:cs="Rasa Light"/>
              <w:color w:val="071D49"/>
            </w:rPr>
            <w:t>348.9025607</w:t>
          </w:r>
        </w:p>
      </w:tc>
      <w:tc>
        <w:tcPr>
          <w:tcW w:w="4678" w:type="dxa"/>
          <w:vAlign w:val="center"/>
        </w:tcPr>
        <w:p w:rsidR="00D63C85" w:rsidRDefault="00000000">
          <w:pPr>
            <w:pBdr>
              <w:top w:val="nil"/>
              <w:left w:val="nil"/>
              <w:bottom w:val="nil"/>
              <w:right w:val="nil"/>
              <w:between w:val="nil"/>
            </w:pBdr>
            <w:jc w:val="right"/>
            <w:rPr>
              <w:rFonts w:ascii="Calibri" w:eastAsia="Calibri" w:hAnsi="Calibri" w:cs="Calibri"/>
              <w:color w:val="000000"/>
              <w:sz w:val="24"/>
              <w:szCs w:val="24"/>
            </w:rPr>
          </w:pPr>
          <w:hyperlink r:id="rId1">
            <w:r>
              <w:rPr>
                <w:rFonts w:ascii="Calibri" w:eastAsia="Calibri" w:hAnsi="Calibri" w:cs="Calibri"/>
                <w:b/>
                <w:noProof/>
                <w:color w:val="000000"/>
                <w:sz w:val="24"/>
                <w:szCs w:val="24"/>
              </w:rPr>
              <w:drawing>
                <wp:inline distT="0" distB="0" distL="114300" distR="114300">
                  <wp:extent cx="215900" cy="215900"/>
                  <wp:effectExtent l="0" t="0" r="0" b="0"/>
                  <wp:docPr id="18508916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15900" cy="215900"/>
                          </a:xfrm>
                          <a:prstGeom prst="rect">
                            <a:avLst/>
                          </a:prstGeom>
                          <a:ln/>
                        </pic:spPr>
                      </pic:pic>
                    </a:graphicData>
                  </a:graphic>
                </wp:inline>
              </w:drawing>
            </w:r>
          </w:hyperlink>
          <w:r>
            <w:rPr>
              <w:rFonts w:ascii="Calibri" w:eastAsia="Calibri" w:hAnsi="Calibri" w:cs="Calibri"/>
              <w:b/>
              <w:color w:val="000000"/>
              <w:sz w:val="24"/>
              <w:szCs w:val="24"/>
            </w:rPr>
            <w:t xml:space="preserve"> </w:t>
          </w:r>
          <w:hyperlink r:id="rId3">
            <w:r>
              <w:rPr>
                <w:rFonts w:ascii="Calibri" w:eastAsia="Calibri" w:hAnsi="Calibri" w:cs="Calibri"/>
                <w:b/>
                <w:noProof/>
                <w:color w:val="000000"/>
                <w:sz w:val="24"/>
                <w:szCs w:val="24"/>
              </w:rPr>
              <w:drawing>
                <wp:inline distT="0" distB="0" distL="114300" distR="114300">
                  <wp:extent cx="228600" cy="228600"/>
                  <wp:effectExtent l="0" t="0" r="0" b="0"/>
                  <wp:docPr id="106354219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28600" cy="228600"/>
                          </a:xfrm>
                          <a:prstGeom prst="rect">
                            <a:avLst/>
                          </a:prstGeom>
                          <a:ln/>
                        </pic:spPr>
                      </pic:pic>
                    </a:graphicData>
                  </a:graphic>
                </wp:inline>
              </w:drawing>
            </w:r>
          </w:hyperlink>
          <w:r>
            <w:rPr>
              <w:rFonts w:ascii="Calibri" w:eastAsia="Calibri" w:hAnsi="Calibri" w:cs="Calibri"/>
              <w:b/>
              <w:color w:val="000000"/>
              <w:sz w:val="24"/>
              <w:szCs w:val="24"/>
            </w:rPr>
            <w:t xml:space="preserve"> </w:t>
          </w:r>
          <w:hyperlink r:id="rId5">
            <w:r>
              <w:rPr>
                <w:noProof/>
                <w:color w:val="000000"/>
                <w:sz w:val="24"/>
                <w:szCs w:val="24"/>
              </w:rPr>
              <w:drawing>
                <wp:inline distT="0" distB="0" distL="114300" distR="114300">
                  <wp:extent cx="227965" cy="227330"/>
                  <wp:effectExtent l="0" t="0" r="0" b="0"/>
                  <wp:docPr id="1006203174" name="image5.png" descr="logo-facebook-piccolo-andalo"/>
                  <wp:cNvGraphicFramePr/>
                  <a:graphic xmlns:a="http://schemas.openxmlformats.org/drawingml/2006/main">
                    <a:graphicData uri="http://schemas.openxmlformats.org/drawingml/2006/picture">
                      <pic:pic xmlns:pic="http://schemas.openxmlformats.org/drawingml/2006/picture">
                        <pic:nvPicPr>
                          <pic:cNvPr id="0" name="image5.png" descr="logo-facebook-piccolo-andalo"/>
                          <pic:cNvPicPr preferRelativeResize="0"/>
                        </pic:nvPicPr>
                        <pic:blipFill>
                          <a:blip r:embed="rId6"/>
                          <a:srcRect/>
                          <a:stretch>
                            <a:fillRect/>
                          </a:stretch>
                        </pic:blipFill>
                        <pic:spPr>
                          <a:xfrm>
                            <a:off x="0" y="0"/>
                            <a:ext cx="227965" cy="227330"/>
                          </a:xfrm>
                          <a:prstGeom prst="rect">
                            <a:avLst/>
                          </a:prstGeom>
                          <a:ln/>
                        </pic:spPr>
                      </pic:pic>
                    </a:graphicData>
                  </a:graphic>
                </wp:inline>
              </w:drawing>
            </w:r>
          </w:hyperlink>
          <w:hyperlink r:id="rId7">
            <w:r>
              <w:rPr>
                <w:rFonts w:ascii="Calibri" w:eastAsia="Calibri" w:hAnsi="Calibri" w:cs="Calibri"/>
                <w:noProof/>
                <w:color w:val="000000"/>
                <w:sz w:val="24"/>
                <w:szCs w:val="24"/>
              </w:rPr>
              <w:drawing>
                <wp:inline distT="0" distB="0" distL="114300" distR="114300">
                  <wp:extent cx="394970" cy="229235"/>
                  <wp:effectExtent l="0" t="0" r="0" b="0"/>
                  <wp:docPr id="2605868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94970" cy="229235"/>
                          </a:xfrm>
                          <a:prstGeom prst="rect">
                            <a:avLst/>
                          </a:prstGeom>
                          <a:ln/>
                        </pic:spPr>
                      </pic:pic>
                    </a:graphicData>
                  </a:graphic>
                </wp:inline>
              </w:drawing>
            </w:r>
          </w:hyperlink>
          <w:hyperlink r:id="rId9">
            <w:r>
              <w:rPr>
                <w:rFonts w:ascii="Calibri" w:eastAsia="Calibri" w:hAnsi="Calibri" w:cs="Calibri"/>
                <w:noProof/>
                <w:color w:val="000000"/>
                <w:sz w:val="24"/>
                <w:szCs w:val="24"/>
              </w:rPr>
              <w:drawing>
                <wp:inline distT="0" distB="0" distL="114300" distR="114300">
                  <wp:extent cx="419100" cy="227965"/>
                  <wp:effectExtent l="0" t="0" r="0" b="0"/>
                  <wp:docPr id="191669078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419100" cy="227965"/>
                          </a:xfrm>
                          <a:prstGeom prst="rect">
                            <a:avLst/>
                          </a:prstGeom>
                          <a:ln/>
                        </pic:spPr>
                      </pic:pic>
                    </a:graphicData>
                  </a:graphic>
                </wp:inline>
              </w:drawing>
            </w:r>
          </w:hyperlink>
          <w:r>
            <w:rPr>
              <w:rFonts w:ascii="Calibri" w:eastAsia="Calibri" w:hAnsi="Calibri" w:cs="Calibri"/>
              <w:color w:val="000000"/>
              <w:sz w:val="24"/>
              <w:szCs w:val="24"/>
            </w:rPr>
            <w:t xml:space="preserve">  </w:t>
          </w:r>
          <w:r>
            <w:rPr>
              <w:rFonts w:ascii="Calibri" w:eastAsia="Calibri" w:hAnsi="Calibri" w:cs="Calibri"/>
              <w:b/>
              <w:color w:val="000000"/>
              <w:sz w:val="24"/>
              <w:szCs w:val="24"/>
            </w:rPr>
            <w:t xml:space="preserve"> </w:t>
          </w:r>
        </w:p>
      </w:tc>
    </w:tr>
  </w:tbl>
  <w:p w:rsidR="008013CE" w:rsidRDefault="008013C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3C85" w:rsidRDefault="00D63C85">
    <w:pPr>
      <w:pBdr>
        <w:top w:val="nil"/>
        <w:left w:val="nil"/>
        <w:bottom w:val="nil"/>
        <w:right w:val="nil"/>
        <w:between w:val="nil"/>
      </w:pBdr>
      <w:tabs>
        <w:tab w:val="center" w:pos="4819"/>
        <w:tab w:val="right" w:pos="9638"/>
      </w:tabs>
      <w:jc w:val="both"/>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4EC1" w:rsidRDefault="005E4EC1">
      <w:r>
        <w:separator/>
      </w:r>
    </w:p>
  </w:footnote>
  <w:footnote w:type="continuationSeparator" w:id="0">
    <w:p w:rsidR="005E4EC1" w:rsidRDefault="005E4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3C85" w:rsidRDefault="00D63C85">
    <w:pPr>
      <w:pBdr>
        <w:top w:val="nil"/>
        <w:left w:val="nil"/>
        <w:bottom w:val="nil"/>
        <w:right w:val="nil"/>
        <w:between w:val="nil"/>
      </w:pBdr>
      <w:tabs>
        <w:tab w:val="center" w:pos="4819"/>
        <w:tab w:val="right" w:pos="9638"/>
      </w:tabs>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3C85" w:rsidRDefault="00D63C85">
    <w:pPr>
      <w:pBdr>
        <w:top w:val="nil"/>
        <w:left w:val="nil"/>
        <w:bottom w:val="nil"/>
        <w:right w:val="nil"/>
        <w:between w:val="nil"/>
      </w:pBdr>
      <w:tabs>
        <w:tab w:val="center" w:pos="4819"/>
        <w:tab w:val="right" w:pos="9638"/>
      </w:tabs>
      <w:jc w:val="both"/>
      <w:rPr>
        <w:color w:val="000000"/>
        <w:sz w:val="24"/>
        <w:szCs w:val="24"/>
      </w:rPr>
    </w:pPr>
  </w:p>
  <w:p w:rsidR="00D63C85" w:rsidRDefault="00D63C85">
    <w:pPr>
      <w:pBdr>
        <w:top w:val="nil"/>
        <w:left w:val="nil"/>
        <w:bottom w:val="nil"/>
        <w:right w:val="nil"/>
        <w:between w:val="nil"/>
      </w:pBdr>
      <w:tabs>
        <w:tab w:val="center" w:pos="4819"/>
        <w:tab w:val="right" w:pos="9638"/>
      </w:tabs>
      <w:jc w:val="both"/>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3C85" w:rsidRDefault="00D63C85">
    <w:pPr>
      <w:pBdr>
        <w:top w:val="nil"/>
        <w:left w:val="nil"/>
        <w:bottom w:val="nil"/>
        <w:right w:val="nil"/>
        <w:between w:val="nil"/>
      </w:pBdr>
      <w:tabs>
        <w:tab w:val="center" w:pos="4819"/>
        <w:tab w:val="right" w:pos="9638"/>
      </w:tabs>
      <w:jc w:val="both"/>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283"/>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C85"/>
    <w:rsid w:val="0002560A"/>
    <w:rsid w:val="005E4EC1"/>
    <w:rsid w:val="00685BEF"/>
    <w:rsid w:val="008013CE"/>
    <w:rsid w:val="009E7892"/>
    <w:rsid w:val="00AF4BE1"/>
    <w:rsid w:val="00D63C85"/>
    <w:rsid w:val="00D95B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ED45847"/>
  <w15:docId w15:val="{30D76962-6EB7-8549-9EF3-8C487BD3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paragraph" w:styleId="Pidipagina">
    <w:name w:val="footer"/>
    <w:basedOn w:val="Normale"/>
    <w:link w:val="PidipaginaCarattere"/>
    <w:uiPriority w:val="99"/>
    <w:rsid w:val="009E7892"/>
    <w:pPr>
      <w:tabs>
        <w:tab w:val="center" w:pos="4819"/>
        <w:tab w:val="right" w:pos="9638"/>
      </w:tabs>
      <w:jc w:val="both"/>
    </w:pPr>
    <w:rPr>
      <w:sz w:val="24"/>
    </w:rPr>
  </w:style>
  <w:style w:type="character" w:customStyle="1" w:styleId="PidipaginaCarattere">
    <w:name w:val="Piè di pagina Carattere"/>
    <w:basedOn w:val="Carpredefinitoparagrafo"/>
    <w:link w:val="Pidipagina"/>
    <w:uiPriority w:val="99"/>
    <w:rsid w:val="009E78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mailto:ufficio.stampa@unioncamere.it" TargetMode="External"/><Relationship Id="rId7" Type="http://schemas.openxmlformats.org/officeDocument/2006/relationships/hyperlink" Target="https://twitter.com/unioncamere" TargetMode="External"/><Relationship Id="rId2" Type="http://schemas.openxmlformats.org/officeDocument/2006/relationships/image" Target="media/image2.png"/><Relationship Id="rId1" Type="http://schemas.openxmlformats.org/officeDocument/2006/relationships/hyperlink" Target="http://www.unioncamere.gov.it" TargetMode="External"/><Relationship Id="rId6" Type="http://schemas.openxmlformats.org/officeDocument/2006/relationships/image" Target="media/image4.png"/><Relationship Id="rId5" Type="http://schemas.openxmlformats.org/officeDocument/2006/relationships/hyperlink" Target="http://www.facebook.com/Unioncamere" TargetMode="External"/><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hyperlink" Target="http://www.youtube.com/user/pressroomunioncamere?feature=results_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968</Words>
  <Characters>5518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2024-08-22T07:19:00Z</dcterms:created>
  <dcterms:modified xsi:type="dcterms:W3CDTF">2024-08-22T11:03:00Z</dcterms:modified>
</cp:coreProperties>
</file>